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1E60" w14:textId="77777777" w:rsidR="00F168F4" w:rsidRPr="00AE55A8" w:rsidRDefault="00F168F4" w:rsidP="00062A4E"/>
    <w:p w14:paraId="2A3ABCDD" w14:textId="04EA2C98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26BD7B7E" w14:textId="4E37540F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3BA0A1A2" w14:textId="1C65AA0E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0339ABA3" w14:textId="567A49CE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2C6E4984" w14:textId="1E072A17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13E685BB" w14:textId="0DA51474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110E5E7D" w14:textId="6F4BABA9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450572D2" w14:textId="7D12C903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54B6796A" w14:textId="775CC520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3D0352DD" w14:textId="5847D76B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57200FB1" w14:textId="0406E1C1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170F6489" w14:textId="77777777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549DAF9C" w14:textId="4066D48E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43F5201B" w14:textId="77777777" w:rsidR="00D73AC8" w:rsidRPr="00AE55A8" w:rsidRDefault="00D73AC8" w:rsidP="00D73AC8">
      <w:pPr>
        <w:pBdr>
          <w:bottom w:val="single" w:sz="6" w:space="1" w:color="auto"/>
        </w:pBdr>
        <w:ind w:right="-193"/>
      </w:pPr>
    </w:p>
    <w:p w14:paraId="791092D7" w14:textId="77777777" w:rsidR="00D73AC8" w:rsidRPr="00256325" w:rsidRDefault="00D73AC8" w:rsidP="00D73AC8">
      <w:pPr>
        <w:jc w:val="center"/>
        <w:rPr>
          <w:caps/>
        </w:rPr>
      </w:pPr>
    </w:p>
    <w:p w14:paraId="52D7A5CB" w14:textId="11711CD7" w:rsidR="00D73AC8" w:rsidRPr="00256325" w:rsidRDefault="00404A42" w:rsidP="00D73AC8">
      <w:pPr>
        <w:jc w:val="center"/>
        <w:rPr>
          <w:b/>
          <w:bCs/>
          <w:caps/>
        </w:rPr>
      </w:pPr>
      <w:r w:rsidRPr="00256325">
        <w:rPr>
          <w:b/>
          <w:bCs/>
          <w:caps/>
        </w:rPr>
        <w:t>ADATKEZELÉSI TÁJÉKOZTATÓ A KAMERÁS MEGFIGYELŐ RENDSZER ALKALMAZÁSÁVAL ÖSSZEFÜGGŐ SZEMÉLYES ADATOK KEZELÉSÉRŐL</w:t>
      </w:r>
    </w:p>
    <w:p w14:paraId="519EE86F" w14:textId="3F020795" w:rsidR="00D73AC8" w:rsidRPr="00404A42" w:rsidRDefault="0014727F" w:rsidP="00D73AC8">
      <w:pPr>
        <w:jc w:val="center"/>
        <w:rPr>
          <w:i/>
          <w:caps/>
          <w:color w:val="000000" w:themeColor="text1"/>
        </w:rPr>
      </w:pPr>
      <w:r>
        <w:rPr>
          <w:i/>
          <w:color w:val="000000" w:themeColor="text1"/>
          <w:shd w:val="clear" w:color="auto" w:fill="FFFFFF"/>
        </w:rPr>
        <w:t>Savaria Szimfonikus Zenekar</w:t>
      </w:r>
    </w:p>
    <w:p w14:paraId="67DE278C" w14:textId="77777777" w:rsidR="00062A4E" w:rsidRPr="00AE55A8" w:rsidRDefault="00062A4E" w:rsidP="00062A4E"/>
    <w:p w14:paraId="25BC0A39" w14:textId="77777777" w:rsidR="00D73AC8" w:rsidRPr="00AE55A8" w:rsidRDefault="00D73AC8" w:rsidP="001D16DC">
      <w:pPr>
        <w:jc w:val="both"/>
      </w:pPr>
    </w:p>
    <w:p w14:paraId="030AFC7E" w14:textId="77777777" w:rsidR="00D73AC8" w:rsidRPr="00AE55A8" w:rsidRDefault="00D73AC8" w:rsidP="001D16DC">
      <w:pPr>
        <w:jc w:val="both"/>
      </w:pPr>
    </w:p>
    <w:p w14:paraId="280BF4EE" w14:textId="77777777" w:rsidR="00D73AC8" w:rsidRPr="00AE55A8" w:rsidRDefault="00D73AC8" w:rsidP="001D16DC">
      <w:pPr>
        <w:jc w:val="both"/>
      </w:pPr>
    </w:p>
    <w:p w14:paraId="7A5F029F" w14:textId="77777777" w:rsidR="00D73AC8" w:rsidRPr="00AE55A8" w:rsidRDefault="00D73AC8" w:rsidP="001D16DC">
      <w:pPr>
        <w:jc w:val="both"/>
      </w:pPr>
    </w:p>
    <w:p w14:paraId="27B77A4E" w14:textId="77777777" w:rsidR="00D73AC8" w:rsidRPr="00AE55A8" w:rsidRDefault="00D73AC8" w:rsidP="001D16DC">
      <w:pPr>
        <w:jc w:val="both"/>
      </w:pPr>
    </w:p>
    <w:p w14:paraId="3E3942F2" w14:textId="77777777" w:rsidR="00D73AC8" w:rsidRPr="00AE55A8" w:rsidRDefault="00D73AC8" w:rsidP="001D16DC">
      <w:pPr>
        <w:jc w:val="both"/>
      </w:pPr>
    </w:p>
    <w:p w14:paraId="26D86373" w14:textId="77777777" w:rsidR="00D73AC8" w:rsidRPr="00AE55A8" w:rsidRDefault="00D73AC8" w:rsidP="001D16DC">
      <w:pPr>
        <w:jc w:val="both"/>
      </w:pPr>
    </w:p>
    <w:p w14:paraId="05F12BD4" w14:textId="77777777" w:rsidR="00D73AC8" w:rsidRPr="00AE55A8" w:rsidRDefault="00D73AC8" w:rsidP="001D16DC">
      <w:pPr>
        <w:jc w:val="both"/>
      </w:pPr>
    </w:p>
    <w:p w14:paraId="62FCCE3E" w14:textId="77777777" w:rsidR="00D73AC8" w:rsidRPr="00AE55A8" w:rsidRDefault="00D73AC8" w:rsidP="001D16DC">
      <w:pPr>
        <w:jc w:val="both"/>
      </w:pPr>
    </w:p>
    <w:p w14:paraId="4B73238D" w14:textId="77777777" w:rsidR="00D73AC8" w:rsidRPr="00AE55A8" w:rsidRDefault="00D73AC8" w:rsidP="001D16DC">
      <w:pPr>
        <w:jc w:val="both"/>
      </w:pPr>
    </w:p>
    <w:p w14:paraId="5B9C505B" w14:textId="77777777" w:rsidR="00D73AC8" w:rsidRPr="00AE55A8" w:rsidRDefault="00D73AC8" w:rsidP="001D16DC">
      <w:pPr>
        <w:jc w:val="both"/>
      </w:pPr>
    </w:p>
    <w:p w14:paraId="68F82E98" w14:textId="77777777" w:rsidR="00D73AC8" w:rsidRPr="00AE55A8" w:rsidRDefault="00D73AC8" w:rsidP="001D16DC">
      <w:pPr>
        <w:jc w:val="both"/>
      </w:pPr>
    </w:p>
    <w:p w14:paraId="38CF7F94" w14:textId="77777777" w:rsidR="00D73AC8" w:rsidRPr="00AE55A8" w:rsidRDefault="00D73AC8" w:rsidP="001D16DC">
      <w:pPr>
        <w:jc w:val="both"/>
      </w:pPr>
    </w:p>
    <w:p w14:paraId="341A0A90" w14:textId="77777777" w:rsidR="00D73AC8" w:rsidRPr="00AE55A8" w:rsidRDefault="00D73AC8" w:rsidP="001D16DC">
      <w:pPr>
        <w:jc w:val="both"/>
      </w:pPr>
    </w:p>
    <w:p w14:paraId="292CEBD1" w14:textId="77777777" w:rsidR="00D73AC8" w:rsidRPr="00AE55A8" w:rsidRDefault="00D73AC8" w:rsidP="001D16DC">
      <w:pPr>
        <w:jc w:val="both"/>
      </w:pPr>
    </w:p>
    <w:p w14:paraId="5AE5782D" w14:textId="2D3A307B" w:rsidR="00D73AC8" w:rsidRDefault="00D73AC8" w:rsidP="001D16DC">
      <w:pPr>
        <w:jc w:val="both"/>
      </w:pPr>
    </w:p>
    <w:p w14:paraId="2C62A006" w14:textId="5EA1C8A4" w:rsidR="0014727F" w:rsidRDefault="0014727F" w:rsidP="001D16DC">
      <w:pPr>
        <w:jc w:val="both"/>
      </w:pPr>
    </w:p>
    <w:p w14:paraId="7F9B19D6" w14:textId="7C3B13E9" w:rsidR="0014727F" w:rsidRDefault="0014727F" w:rsidP="001D16DC">
      <w:pPr>
        <w:jc w:val="both"/>
      </w:pPr>
    </w:p>
    <w:p w14:paraId="0177C484" w14:textId="6ABA9A99" w:rsidR="0014727F" w:rsidRDefault="0014727F" w:rsidP="001D16DC">
      <w:pPr>
        <w:jc w:val="both"/>
      </w:pPr>
    </w:p>
    <w:p w14:paraId="13C9C497" w14:textId="3E878E1A" w:rsidR="0014727F" w:rsidRDefault="0014727F" w:rsidP="001D16DC">
      <w:pPr>
        <w:jc w:val="both"/>
      </w:pPr>
    </w:p>
    <w:p w14:paraId="71634C97" w14:textId="097E3232" w:rsidR="0014727F" w:rsidRDefault="0014727F" w:rsidP="001D16DC">
      <w:pPr>
        <w:jc w:val="both"/>
      </w:pPr>
    </w:p>
    <w:p w14:paraId="49586D06" w14:textId="605B563F" w:rsidR="0014727F" w:rsidRDefault="0014727F" w:rsidP="001D16DC">
      <w:pPr>
        <w:jc w:val="both"/>
      </w:pPr>
    </w:p>
    <w:p w14:paraId="2B088B46" w14:textId="01D3D4D9" w:rsidR="0014727F" w:rsidRDefault="0014727F" w:rsidP="001D16DC">
      <w:pPr>
        <w:jc w:val="both"/>
      </w:pPr>
    </w:p>
    <w:p w14:paraId="36994932" w14:textId="3199DE21" w:rsidR="0014727F" w:rsidRDefault="0014727F" w:rsidP="001D16DC">
      <w:pPr>
        <w:jc w:val="both"/>
      </w:pPr>
    </w:p>
    <w:p w14:paraId="76EB7618" w14:textId="421E7C51" w:rsidR="0014727F" w:rsidRDefault="0014727F" w:rsidP="001D16DC">
      <w:pPr>
        <w:jc w:val="both"/>
      </w:pPr>
    </w:p>
    <w:p w14:paraId="2694042C" w14:textId="1770D02C" w:rsidR="0014727F" w:rsidRDefault="0014727F" w:rsidP="001D16DC">
      <w:pPr>
        <w:jc w:val="both"/>
      </w:pPr>
    </w:p>
    <w:p w14:paraId="5DEEE6B3" w14:textId="77777777" w:rsidR="0014727F" w:rsidRPr="00AE55A8" w:rsidRDefault="0014727F" w:rsidP="001D16DC">
      <w:pPr>
        <w:jc w:val="both"/>
      </w:pPr>
    </w:p>
    <w:p w14:paraId="44459B53" w14:textId="6E4FCD02" w:rsidR="00D73AC8" w:rsidRPr="00AE55A8" w:rsidRDefault="00D73AC8" w:rsidP="001D16DC">
      <w:pPr>
        <w:jc w:val="both"/>
      </w:pPr>
    </w:p>
    <w:p w14:paraId="50A01008" w14:textId="53961D86" w:rsidR="00062A4E" w:rsidRPr="00256325" w:rsidRDefault="00642F95" w:rsidP="00D73AC8">
      <w:pPr>
        <w:pStyle w:val="Cmsor1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bookmarkStart w:id="0" w:name="_Toc43975961"/>
      <w:r>
        <w:rPr>
          <w:rFonts w:ascii="Times New Roman" w:hAnsi="Times New Roman" w:cs="Times New Roman"/>
        </w:rPr>
        <w:lastRenderedPageBreak/>
        <w:t>A Tájékoztató</w:t>
      </w:r>
      <w:r w:rsidR="00984348" w:rsidRPr="00256325">
        <w:rPr>
          <w:rFonts w:ascii="Times New Roman" w:hAnsi="Times New Roman" w:cs="Times New Roman"/>
        </w:rPr>
        <w:t xml:space="preserve"> célja és hatálya</w:t>
      </w:r>
      <w:bookmarkEnd w:id="0"/>
    </w:p>
    <w:p w14:paraId="7BCEC480" w14:textId="77777777" w:rsidR="00D73AC8" w:rsidRPr="00AE55A8" w:rsidRDefault="00D73AC8" w:rsidP="00D73AC8"/>
    <w:p w14:paraId="2793EB82" w14:textId="6985CFA2" w:rsidR="00C712A4" w:rsidRPr="00AE55A8" w:rsidRDefault="00984348" w:rsidP="001D16DC">
      <w:pPr>
        <w:jc w:val="both"/>
      </w:pPr>
      <w:r w:rsidRPr="00AE55A8">
        <w:t>J</w:t>
      </w:r>
      <w:r w:rsidR="00062A4E" w:rsidRPr="00404A42">
        <w:t>elen</w:t>
      </w:r>
      <w:r w:rsidRPr="00404A42">
        <w:t xml:space="preserve">, </w:t>
      </w:r>
      <w:r w:rsidR="00C712A4" w:rsidRPr="00AE55A8">
        <w:t xml:space="preserve">elektronikus megfigyelőrendszer használatához </w:t>
      </w:r>
      <w:r w:rsidRPr="00AE55A8">
        <w:t xml:space="preserve">kapcsolódó adatkezelésről szóló </w:t>
      </w:r>
      <w:r w:rsidR="00062A4E" w:rsidRPr="00AE55A8">
        <w:t xml:space="preserve"> adatkezelési tájékoztató (a továbbiak</w:t>
      </w:r>
      <w:r w:rsidRPr="00AE55A8">
        <w:t xml:space="preserve">ban: „Tájékoztató”) célja, hogy meghatározza a </w:t>
      </w:r>
      <w:r w:rsidR="00174628">
        <w:t xml:space="preserve">Savaria Szimfonikus Zenekar </w:t>
      </w:r>
      <w:r w:rsidR="00062A4E" w:rsidRPr="00AE55A8">
        <w:t>(a továbbiakba</w:t>
      </w:r>
      <w:r w:rsidRPr="00AE55A8">
        <w:t xml:space="preserve">n: „Adatkezelő”) által működtetett </w:t>
      </w:r>
      <w:r w:rsidR="00C712A4" w:rsidRPr="00AE55A8">
        <w:t>kamerarendszer</w:t>
      </w:r>
      <w:r w:rsidR="00404A42">
        <w:t xml:space="preserve"> </w:t>
      </w:r>
      <w:r w:rsidR="00C712A4" w:rsidRPr="00404A42">
        <w:t xml:space="preserve">használatának </w:t>
      </w:r>
      <w:r w:rsidR="00062A4E" w:rsidRPr="00404A42">
        <w:t>törvény</w:t>
      </w:r>
      <w:r w:rsidRPr="00404A42">
        <w:t xml:space="preserve">es rendjét, valamint biztosítsa </w:t>
      </w:r>
      <w:r w:rsidR="00062A4E" w:rsidRPr="00404A42">
        <w:t>az adatvédelem alkotmányos elveinek, az infor</w:t>
      </w:r>
      <w:r w:rsidRPr="00404A42">
        <w:t xml:space="preserve">mációs önrendelkezési jognak és </w:t>
      </w:r>
      <w:r w:rsidR="00062A4E" w:rsidRPr="00404A42">
        <w:t>adatbiztonság követelményeinek érvényesül</w:t>
      </w:r>
      <w:r w:rsidRPr="00404A42">
        <w:t xml:space="preserve">ését, valamint, hogy a törvényi </w:t>
      </w:r>
      <w:r w:rsidR="00062A4E" w:rsidRPr="00404A42">
        <w:t>szabályozás keretei között személyes adataival m</w:t>
      </w:r>
      <w:r w:rsidRPr="00404A42">
        <w:t xml:space="preserve">indenki maga rendelkezzen, azok </w:t>
      </w:r>
      <w:r w:rsidR="00062A4E" w:rsidRPr="00AE55A8">
        <w:t>kezelésének körülményeit megismerhesse, illetv</w:t>
      </w:r>
      <w:r w:rsidRPr="00AE55A8">
        <w:t xml:space="preserve">e megakadályozza a jogosulatlan </w:t>
      </w:r>
      <w:r w:rsidR="00062A4E" w:rsidRPr="00AE55A8">
        <w:t>hozzáférést, az adatok megváltoztatását és jogosulatl</w:t>
      </w:r>
      <w:r w:rsidRPr="00AE55A8">
        <w:t xml:space="preserve">an nyilvánosságra hozatalát. </w:t>
      </w:r>
    </w:p>
    <w:p w14:paraId="70BEA394" w14:textId="77777777" w:rsidR="00C712A4" w:rsidRPr="00AE55A8" w:rsidRDefault="00C712A4" w:rsidP="001D16DC">
      <w:pPr>
        <w:jc w:val="both"/>
      </w:pPr>
    </w:p>
    <w:p w14:paraId="5C965E4C" w14:textId="24AC5DC8" w:rsidR="00FF02DA" w:rsidRPr="00256325" w:rsidRDefault="00E741D4" w:rsidP="00D73AC8">
      <w:pPr>
        <w:pStyle w:val="Cmsor1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bookmarkStart w:id="1" w:name="_Toc43975962"/>
      <w:r w:rsidRPr="00256325">
        <w:rPr>
          <w:rFonts w:ascii="Times New Roman" w:hAnsi="Times New Roman" w:cs="Times New Roman"/>
        </w:rPr>
        <w:t>Irányadó jogszabályok</w:t>
      </w:r>
      <w:bookmarkEnd w:id="1"/>
    </w:p>
    <w:p w14:paraId="77D0E9F5" w14:textId="77777777" w:rsidR="00D73AC8" w:rsidRPr="00AE55A8" w:rsidRDefault="00D73AC8" w:rsidP="00D73AC8">
      <w:pPr>
        <w:pStyle w:val="Listaszerbekezds"/>
      </w:pPr>
    </w:p>
    <w:p w14:paraId="0FAC7B6E" w14:textId="77777777" w:rsidR="002D45CB" w:rsidRPr="00AE55A8" w:rsidRDefault="00984348" w:rsidP="001D16DC">
      <w:pPr>
        <w:pStyle w:val="Listaszerbekezds"/>
        <w:numPr>
          <w:ilvl w:val="0"/>
          <w:numId w:val="2"/>
        </w:numPr>
        <w:jc w:val="both"/>
      </w:pPr>
      <w:r w:rsidRPr="00AE55A8">
        <w:t xml:space="preserve">Az Európai Parlament és a Tanács (EU) 2016/679 rendelete (2016. április 27.) </w:t>
      </w:r>
      <w:r w:rsidRPr="00DC02DF">
        <w:t>a természetes személyeknek a személyes adatok kezelése tekintetében történő védelméről és az ilyen adatok szabad áramlásáról, valamint a 95/46/EK rendelet hatályon kívül helyezéséről (általános adatvédelmi rendelet; a továbbiakban: „GDPR”)</w:t>
      </w:r>
    </w:p>
    <w:p w14:paraId="6707DB10" w14:textId="77777777" w:rsidR="00984348" w:rsidRPr="00AE55A8" w:rsidRDefault="00984348" w:rsidP="001D16DC">
      <w:pPr>
        <w:pStyle w:val="Listaszerbekezds"/>
        <w:numPr>
          <w:ilvl w:val="0"/>
          <w:numId w:val="2"/>
        </w:numPr>
        <w:jc w:val="both"/>
      </w:pPr>
      <w:r w:rsidRPr="00AE55A8">
        <w:t>2011. évi CXII. törvény az információs önrendelkezési jogról és az információszabadságról (a továbbiakban: „Infotv.”)</w:t>
      </w:r>
    </w:p>
    <w:p w14:paraId="4D6A45BB" w14:textId="77777777" w:rsidR="00984348" w:rsidRPr="00AE55A8" w:rsidRDefault="00984348" w:rsidP="001D16DC">
      <w:pPr>
        <w:pStyle w:val="Listaszerbekezds"/>
        <w:numPr>
          <w:ilvl w:val="0"/>
          <w:numId w:val="2"/>
        </w:numPr>
        <w:jc w:val="both"/>
      </w:pPr>
      <w:r w:rsidRPr="00AE55A8">
        <w:t>2013. évi V. törvény a Polgári Törvénykönyvről (a továbbiakban: „Ptk.”)</w:t>
      </w:r>
    </w:p>
    <w:p w14:paraId="43FA1C88" w14:textId="77777777" w:rsidR="00984348" w:rsidRPr="00AE55A8" w:rsidRDefault="00984348" w:rsidP="001D16DC">
      <w:pPr>
        <w:jc w:val="both"/>
      </w:pPr>
    </w:p>
    <w:p w14:paraId="6D255FE7" w14:textId="39A51809" w:rsidR="002D45CB" w:rsidRPr="00256325" w:rsidRDefault="002D45CB" w:rsidP="00D73AC8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2" w:name="_Toc43975963"/>
      <w:r w:rsidRPr="00256325">
        <w:rPr>
          <w:rFonts w:ascii="Times New Roman" w:hAnsi="Times New Roman" w:cs="Times New Roman"/>
        </w:rPr>
        <w:t>Az Adatkezelő adatai</w:t>
      </w:r>
      <w:bookmarkEnd w:id="2"/>
    </w:p>
    <w:p w14:paraId="25A26C52" w14:textId="77777777" w:rsidR="00D73AC8" w:rsidRPr="00AE55A8" w:rsidRDefault="00D73AC8" w:rsidP="00D73AC8">
      <w:pPr>
        <w:ind w:left="360"/>
      </w:pPr>
    </w:p>
    <w:p w14:paraId="4DDD05B2" w14:textId="77777777" w:rsidR="0046013A" w:rsidRPr="00404A42" w:rsidRDefault="002D45CB" w:rsidP="001D16DC">
      <w:pPr>
        <w:jc w:val="both"/>
      </w:pPr>
      <w:r w:rsidRPr="00AE55A8">
        <w:t>Az Adatkezel</w:t>
      </w:r>
      <w:r w:rsidR="00C712A4" w:rsidRPr="00DC02DF">
        <w:t>ő aktuális adatai a következők:</w:t>
      </w:r>
    </w:p>
    <w:p w14:paraId="33306358" w14:textId="2C89DDB0" w:rsidR="00C712A4" w:rsidRPr="00256325" w:rsidRDefault="002D45CB" w:rsidP="00CD123C">
      <w:pPr>
        <w:pStyle w:val="Listaszerbekezds"/>
        <w:numPr>
          <w:ilvl w:val="0"/>
          <w:numId w:val="11"/>
        </w:numPr>
        <w:jc w:val="both"/>
      </w:pPr>
      <w:r w:rsidRPr="00256325">
        <w:t xml:space="preserve">Név: </w:t>
      </w:r>
      <w:r w:rsidR="0014727F" w:rsidRPr="00400416">
        <w:rPr>
          <w:b/>
        </w:rPr>
        <w:t>Savaria Szimfonikus Zenekar</w:t>
      </w:r>
    </w:p>
    <w:p w14:paraId="625FED1A" w14:textId="400A62DB" w:rsidR="00C712A4" w:rsidRPr="00256325" w:rsidRDefault="002D45CB" w:rsidP="0014727F">
      <w:pPr>
        <w:pStyle w:val="Listaszerbekezds"/>
        <w:numPr>
          <w:ilvl w:val="0"/>
          <w:numId w:val="11"/>
        </w:numPr>
        <w:jc w:val="both"/>
      </w:pPr>
      <w:r w:rsidRPr="00256325">
        <w:t xml:space="preserve">Székhely: </w:t>
      </w:r>
      <w:r w:rsidR="0014727F" w:rsidRPr="00400416">
        <w:rPr>
          <w:b/>
        </w:rPr>
        <w:t>9700 Szombathely, Rákóczi utca 3.</w:t>
      </w:r>
    </w:p>
    <w:p w14:paraId="4EE83928" w14:textId="6EE7292D" w:rsidR="002D45CB" w:rsidRPr="00256325" w:rsidRDefault="002D45CB" w:rsidP="0014727F">
      <w:pPr>
        <w:pStyle w:val="Listaszerbekezds"/>
        <w:numPr>
          <w:ilvl w:val="0"/>
          <w:numId w:val="11"/>
        </w:numPr>
        <w:jc w:val="both"/>
        <w:rPr>
          <w:b/>
        </w:rPr>
      </w:pPr>
      <w:r w:rsidRPr="00256325">
        <w:t xml:space="preserve">Adószám: </w:t>
      </w:r>
      <w:r w:rsidR="0014727F" w:rsidRPr="00400416">
        <w:rPr>
          <w:b/>
        </w:rPr>
        <w:t>15420</w:t>
      </w:r>
      <w:r w:rsidR="00310808">
        <w:rPr>
          <w:b/>
        </w:rPr>
        <w:t>655</w:t>
      </w:r>
      <w:r w:rsidR="0014727F" w:rsidRPr="00400416">
        <w:rPr>
          <w:b/>
        </w:rPr>
        <w:t>-2-18</w:t>
      </w:r>
    </w:p>
    <w:p w14:paraId="2B2AFEA6" w14:textId="3F4E5452" w:rsidR="002D45CB" w:rsidRPr="00400416" w:rsidRDefault="002D45CB" w:rsidP="00CD123C">
      <w:pPr>
        <w:pStyle w:val="Listaszerbekezds"/>
        <w:numPr>
          <w:ilvl w:val="0"/>
          <w:numId w:val="11"/>
        </w:numPr>
        <w:jc w:val="both"/>
        <w:rPr>
          <w:b/>
        </w:rPr>
      </w:pPr>
      <w:r w:rsidRPr="00256325">
        <w:t>Telefonszám:</w:t>
      </w:r>
      <w:r w:rsidR="0014727F">
        <w:t xml:space="preserve"> </w:t>
      </w:r>
      <w:r w:rsidR="0014727F" w:rsidRPr="00400416">
        <w:rPr>
          <w:b/>
        </w:rPr>
        <w:t>+36 94 314 472</w:t>
      </w:r>
    </w:p>
    <w:p w14:paraId="2B77FC40" w14:textId="31E90379" w:rsidR="002D45CB" w:rsidRPr="00256325" w:rsidRDefault="002D45CB" w:rsidP="00CD123C">
      <w:pPr>
        <w:pStyle w:val="Listaszerbekezds"/>
        <w:numPr>
          <w:ilvl w:val="0"/>
          <w:numId w:val="11"/>
        </w:numPr>
        <w:jc w:val="both"/>
      </w:pPr>
      <w:r w:rsidRPr="00256325">
        <w:t xml:space="preserve">E-mail cím: </w:t>
      </w:r>
      <w:r w:rsidR="0014727F">
        <w:rPr>
          <w:b/>
        </w:rPr>
        <w:t>info@sso.hu</w:t>
      </w:r>
    </w:p>
    <w:p w14:paraId="3514E3D7" w14:textId="0A54CCCC" w:rsidR="002D45CB" w:rsidRPr="00256325" w:rsidRDefault="002D45CB" w:rsidP="00CD123C">
      <w:pPr>
        <w:pStyle w:val="Listaszerbekezds"/>
        <w:numPr>
          <w:ilvl w:val="0"/>
          <w:numId w:val="11"/>
        </w:numPr>
        <w:jc w:val="both"/>
      </w:pPr>
      <w:r w:rsidRPr="00256325">
        <w:t xml:space="preserve">Adatvédelmi tisztviselő neve: </w:t>
      </w:r>
      <w:r w:rsidR="00D73AC8" w:rsidRPr="00256325">
        <w:rPr>
          <w:b/>
        </w:rPr>
        <w:t>Dap Sec Kft.</w:t>
      </w:r>
    </w:p>
    <w:p w14:paraId="7D75789B" w14:textId="1641EA61" w:rsidR="002D45CB" w:rsidRPr="00256325" w:rsidRDefault="002D45CB" w:rsidP="00CD123C">
      <w:pPr>
        <w:pStyle w:val="Listaszerbekezds"/>
        <w:numPr>
          <w:ilvl w:val="0"/>
          <w:numId w:val="11"/>
        </w:numPr>
        <w:jc w:val="both"/>
      </w:pPr>
      <w:r w:rsidRPr="00256325">
        <w:t xml:space="preserve">Adatvédelmi tisztviselő e-mail címe: </w:t>
      </w:r>
      <w:r w:rsidR="00D73AC8" w:rsidRPr="00256325">
        <w:rPr>
          <w:b/>
        </w:rPr>
        <w:t>info</w:t>
      </w:r>
      <w:r w:rsidRPr="00256325">
        <w:rPr>
          <w:b/>
        </w:rPr>
        <w:t>@dapsec.hu</w:t>
      </w:r>
    </w:p>
    <w:p w14:paraId="035BD063" w14:textId="19BCC0DF" w:rsidR="00CD123C" w:rsidRPr="00256325" w:rsidRDefault="002D45CB" w:rsidP="00CD123C">
      <w:pPr>
        <w:pStyle w:val="Listaszerbekezds"/>
        <w:numPr>
          <w:ilvl w:val="0"/>
          <w:numId w:val="11"/>
        </w:numPr>
        <w:jc w:val="both"/>
      </w:pPr>
      <w:r w:rsidRPr="00256325">
        <w:t xml:space="preserve">Adatvédelmi tisztviselő telefonszáma: </w:t>
      </w:r>
      <w:r w:rsidRPr="00256325">
        <w:rPr>
          <w:b/>
        </w:rPr>
        <w:t>+36 20 5574 860</w:t>
      </w:r>
    </w:p>
    <w:p w14:paraId="793FE647" w14:textId="0502E50A" w:rsidR="00CD123C" w:rsidRPr="00256325" w:rsidRDefault="00CD123C" w:rsidP="00CD123C">
      <w:pPr>
        <w:jc w:val="both"/>
      </w:pPr>
    </w:p>
    <w:p w14:paraId="5B1966F4" w14:textId="77777777" w:rsidR="00CD123C" w:rsidRPr="00256325" w:rsidRDefault="00CD123C" w:rsidP="00CD123C">
      <w:pPr>
        <w:jc w:val="both"/>
      </w:pPr>
    </w:p>
    <w:p w14:paraId="04EFAC21" w14:textId="6E973346" w:rsidR="002D45CB" w:rsidRPr="00910BDF" w:rsidRDefault="00E56164" w:rsidP="00910BDF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3" w:name="_Toc43975964"/>
      <w:r w:rsidRPr="00910BDF">
        <w:rPr>
          <w:rFonts w:ascii="Times New Roman" w:hAnsi="Times New Roman" w:cs="Times New Roman"/>
        </w:rPr>
        <w:t>Kamerák</w:t>
      </w:r>
      <w:r w:rsidR="00920BD4">
        <w:rPr>
          <w:rFonts w:ascii="Times New Roman" w:hAnsi="Times New Roman" w:cs="Times New Roman"/>
        </w:rPr>
        <w:t xml:space="preserve"> </w:t>
      </w:r>
      <w:r w:rsidRPr="00910BDF">
        <w:rPr>
          <w:rFonts w:ascii="Times New Roman" w:hAnsi="Times New Roman" w:cs="Times New Roman"/>
        </w:rPr>
        <w:t>üzem</w:t>
      </w:r>
      <w:r w:rsidR="00C86FBC" w:rsidRPr="00910BDF">
        <w:rPr>
          <w:rFonts w:ascii="Times New Roman" w:hAnsi="Times New Roman" w:cs="Times New Roman"/>
        </w:rPr>
        <w:t>e</w:t>
      </w:r>
      <w:r w:rsidRPr="00910BDF">
        <w:rPr>
          <w:rFonts w:ascii="Times New Roman" w:hAnsi="Times New Roman" w:cs="Times New Roman"/>
        </w:rPr>
        <w:t>ltetése</w:t>
      </w:r>
      <w:bookmarkEnd w:id="3"/>
    </w:p>
    <w:p w14:paraId="5C30489E" w14:textId="3A2014B0" w:rsidR="00E56164" w:rsidRPr="00910BDF" w:rsidRDefault="00E56164" w:rsidP="00E56164">
      <w:pPr>
        <w:jc w:val="both"/>
        <w:rPr>
          <w:color w:val="000000"/>
        </w:rPr>
      </w:pPr>
    </w:p>
    <w:p w14:paraId="26B13814" w14:textId="6A40DB9A" w:rsidR="00E56164" w:rsidRPr="00910BDF" w:rsidRDefault="00E56164" w:rsidP="00910BDF">
      <w:pPr>
        <w:pStyle w:val="Listaszerbekezds"/>
        <w:jc w:val="both"/>
      </w:pPr>
    </w:p>
    <w:p w14:paraId="7FF74D67" w14:textId="5177FA1B" w:rsidR="00E56164" w:rsidRPr="00910BDF" w:rsidRDefault="0071718B" w:rsidP="00E56164">
      <w:pPr>
        <w:jc w:val="both"/>
      </w:pPr>
      <w:r w:rsidRPr="00910BDF">
        <w:rPr>
          <w:b/>
          <w:color w:val="000000"/>
          <w:u w:val="single"/>
        </w:rPr>
        <w:t>(</w:t>
      </w:r>
      <w:r w:rsidR="002C6097">
        <w:rPr>
          <w:b/>
          <w:color w:val="000000"/>
          <w:u w:val="single"/>
        </w:rPr>
        <w:t>1</w:t>
      </w:r>
      <w:r w:rsidRPr="00910BDF">
        <w:rPr>
          <w:b/>
          <w:color w:val="000000"/>
          <w:u w:val="single"/>
        </w:rPr>
        <w:t xml:space="preserve">) </w:t>
      </w:r>
      <w:r w:rsidR="002C6097">
        <w:rPr>
          <w:b/>
          <w:color w:val="000000"/>
          <w:u w:val="single"/>
        </w:rPr>
        <w:t>Nem biztonsági célú kamera</w:t>
      </w:r>
      <w:r w:rsidR="00E56164" w:rsidRPr="00910BDF">
        <w:rPr>
          <w:b/>
          <w:color w:val="000000"/>
          <w:u w:val="single"/>
        </w:rPr>
        <w:t>rendszer:</w:t>
      </w:r>
      <w:r w:rsidR="002C6097">
        <w:rPr>
          <w:color w:val="00B050"/>
        </w:rPr>
        <w:t xml:space="preserve"> </w:t>
      </w:r>
      <w:r w:rsidR="002C6097">
        <w:t xml:space="preserve">az intézmény területén </w:t>
      </w:r>
      <w:r w:rsidR="00A64DCA">
        <w:t xml:space="preserve">nem biztonsági célú </w:t>
      </w:r>
      <w:r w:rsidR="00174628">
        <w:t xml:space="preserve">zárt láncú </w:t>
      </w:r>
      <w:r w:rsidR="00A64DCA">
        <w:t>ka</w:t>
      </w:r>
      <w:r w:rsidR="00174628">
        <w:t>merarendszer működik, amely adatot szolgáltat arról, hogy az előadásra érkező személyek az épület bizonyos területein tartózkodnak-e még, vagy már elfoglalták a helyüket a teremben, illetve az illetékesek lá</w:t>
      </w:r>
      <w:r w:rsidR="00D76E84">
        <w:t>tják</w:t>
      </w:r>
      <w:r w:rsidR="00174628">
        <w:t>, mi zajlik a színpadon.</w:t>
      </w:r>
      <w:r w:rsidR="00E56164" w:rsidRPr="00910BDF">
        <w:t xml:space="preserve"> A kamerával felvett adatok</w:t>
      </w:r>
      <w:r w:rsidR="00174628">
        <w:t>hoz</w:t>
      </w:r>
      <w:r w:rsidR="00E56164" w:rsidRPr="00910BDF">
        <w:t xml:space="preserve"> a</w:t>
      </w:r>
      <w:r w:rsidR="00174628">
        <w:t xml:space="preserve">z intézmény </w:t>
      </w:r>
      <w:r w:rsidR="00E56164" w:rsidRPr="00910BDF">
        <w:t xml:space="preserve">területén erre a célra létesített helyiségben a </w:t>
      </w:r>
      <w:r w:rsidR="00174628">
        <w:t>figyelő és a karbantartásért felelős munkatárs fér hozzá</w:t>
      </w:r>
      <w:r w:rsidR="00E56164" w:rsidRPr="00910BDF">
        <w:t xml:space="preserve">. </w:t>
      </w:r>
    </w:p>
    <w:p w14:paraId="5B21E97D" w14:textId="6769942C" w:rsidR="00E56164" w:rsidRPr="00910BDF" w:rsidRDefault="00E56164" w:rsidP="00E56164">
      <w:pPr>
        <w:jc w:val="both"/>
      </w:pPr>
    </w:p>
    <w:p w14:paraId="3FD3BECF" w14:textId="77777777" w:rsidR="00BE05D7" w:rsidRPr="00AE55A8" w:rsidRDefault="00BE05D7" w:rsidP="001D16DC">
      <w:pPr>
        <w:jc w:val="both"/>
      </w:pPr>
    </w:p>
    <w:p w14:paraId="2D59DC6E" w14:textId="467DDB82" w:rsidR="0046013A" w:rsidRPr="00910BDF" w:rsidRDefault="00C712A4" w:rsidP="00B80F52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4" w:name="_Toc43975965"/>
      <w:r w:rsidRPr="00910BDF">
        <w:rPr>
          <w:rFonts w:ascii="Times New Roman" w:hAnsi="Times New Roman" w:cs="Times New Roman"/>
        </w:rPr>
        <w:lastRenderedPageBreak/>
        <w:t xml:space="preserve">A kezelt személyes adatok köre, az adatkezelés célja, </w:t>
      </w:r>
      <w:r w:rsidR="0046013A" w:rsidRPr="00910BDF">
        <w:rPr>
          <w:rFonts w:ascii="Times New Roman" w:hAnsi="Times New Roman" w:cs="Times New Roman"/>
        </w:rPr>
        <w:t>időtartama és jogcíme</w:t>
      </w:r>
      <w:bookmarkEnd w:id="4"/>
    </w:p>
    <w:p w14:paraId="7B996327" w14:textId="77777777" w:rsidR="00B80F52" w:rsidRPr="00AE55A8" w:rsidRDefault="00B80F52" w:rsidP="00B80F52">
      <w:pPr>
        <w:pStyle w:val="Listaszerbekezds"/>
      </w:pPr>
    </w:p>
    <w:p w14:paraId="2A749B4B" w14:textId="26432D68" w:rsidR="00981D55" w:rsidRPr="00AE55A8" w:rsidRDefault="00C712A4" w:rsidP="001D16DC">
      <w:pPr>
        <w:pStyle w:val="Listaszerbekezds"/>
        <w:numPr>
          <w:ilvl w:val="0"/>
          <w:numId w:val="10"/>
        </w:numPr>
        <w:jc w:val="both"/>
      </w:pPr>
      <w:r w:rsidRPr="00AE55A8">
        <w:t xml:space="preserve">Az Adatkezelő </w:t>
      </w:r>
      <w:r w:rsidR="00D44C7C" w:rsidRPr="00AE55A8">
        <w:t xml:space="preserve">által végzett </w:t>
      </w:r>
      <w:r w:rsidR="00D44C7C" w:rsidRPr="00DC02DF">
        <w:t>kamerahasználattal ös</w:t>
      </w:r>
      <w:r w:rsidR="00D44C7C" w:rsidRPr="00404A42">
        <w:t xml:space="preserve">szefüggő </w:t>
      </w:r>
      <w:r w:rsidRPr="00404A42">
        <w:t>adatkezelése</w:t>
      </w:r>
      <w:r w:rsidR="00D44C7C" w:rsidRPr="00404A42">
        <w:t>k</w:t>
      </w:r>
      <w:r w:rsidR="00D44C7C" w:rsidRPr="00AE55A8">
        <w:t xml:space="preserve">re az alábbiak szerint jogszabályi kötelezettség alapján, vagy jogos érdekből kerül sor. </w:t>
      </w:r>
    </w:p>
    <w:p w14:paraId="56764856" w14:textId="18FB507D" w:rsidR="00981D55" w:rsidRPr="00AE55A8" w:rsidRDefault="00B80F52" w:rsidP="00B80F52">
      <w:pPr>
        <w:ind w:firstLine="360"/>
        <w:jc w:val="both"/>
      </w:pPr>
      <w:r w:rsidRPr="00AE55A8">
        <w:t>(2)</w:t>
      </w:r>
      <w:r w:rsidR="009C354B" w:rsidRPr="00AE55A8">
        <w:t xml:space="preserve"> </w:t>
      </w:r>
      <w:r w:rsidR="00981D55" w:rsidRPr="00AE55A8">
        <w:t>Az Adatkezelő egyes tevékenységeihez tartozó adatkezelések:</w:t>
      </w:r>
    </w:p>
    <w:p w14:paraId="12C1FF02" w14:textId="73D1730B" w:rsidR="0036307E" w:rsidRPr="00AE55A8" w:rsidRDefault="0036307E" w:rsidP="005C37C8">
      <w:pPr>
        <w:pStyle w:val="Listaszerbekezds"/>
        <w:numPr>
          <w:ilvl w:val="0"/>
          <w:numId w:val="5"/>
        </w:numPr>
        <w:jc w:val="both"/>
        <w:rPr>
          <w:b/>
        </w:rPr>
      </w:pPr>
      <w:r w:rsidRPr="00AE55A8">
        <w:t xml:space="preserve"> </w:t>
      </w:r>
      <w:r w:rsidR="00400416">
        <w:rPr>
          <w:b/>
        </w:rPr>
        <w:t xml:space="preserve">Nem biztonsági célú </w:t>
      </w:r>
      <w:r w:rsidRPr="00AE55A8">
        <w:rPr>
          <w:b/>
        </w:rPr>
        <w:t>kamerarendszer</w:t>
      </w:r>
    </w:p>
    <w:p w14:paraId="5A146F34" w14:textId="77777777" w:rsidR="00A666CA" w:rsidRPr="00AE55A8" w:rsidRDefault="0036307E" w:rsidP="00A666CA">
      <w:pPr>
        <w:ind w:left="708" w:firstLine="360"/>
        <w:jc w:val="both"/>
      </w:pPr>
      <w:r w:rsidRPr="00AE55A8">
        <w:t xml:space="preserve">Az adatkezelés jogalapja: </w:t>
      </w:r>
      <w:r w:rsidRPr="00AE55A8">
        <w:rPr>
          <w:b/>
        </w:rPr>
        <w:t>adatkezelő jogos érdeke</w:t>
      </w:r>
    </w:p>
    <w:p w14:paraId="15080989" w14:textId="0584FE17" w:rsidR="0036307E" w:rsidRPr="00AE55A8" w:rsidRDefault="0036307E" w:rsidP="00A666CA">
      <w:pPr>
        <w:ind w:left="708" w:firstLine="360"/>
        <w:jc w:val="both"/>
      </w:pPr>
      <w:r w:rsidRPr="00AE55A8">
        <w:t xml:space="preserve">A kezelt személyes adatok köre: </w:t>
      </w:r>
      <w:r w:rsidRPr="00AE55A8">
        <w:rPr>
          <w:b/>
        </w:rPr>
        <w:t>érintettek képmása</w:t>
      </w:r>
    </w:p>
    <w:p w14:paraId="7062832A" w14:textId="77777777" w:rsidR="0036307E" w:rsidRPr="00AE55A8" w:rsidRDefault="0036307E" w:rsidP="00A666CA">
      <w:pPr>
        <w:ind w:left="708" w:firstLine="360"/>
        <w:jc w:val="both"/>
      </w:pPr>
      <w:r w:rsidRPr="00AE55A8">
        <w:t>Az adatkezelés platformja:</w:t>
      </w:r>
      <w:r w:rsidR="00570100" w:rsidRPr="00AE55A8">
        <w:t xml:space="preserve"> </w:t>
      </w:r>
      <w:r w:rsidR="00570100" w:rsidRPr="00AE55A8">
        <w:rPr>
          <w:b/>
        </w:rPr>
        <w:t>zárt láncú kamerarendszer</w:t>
      </w:r>
    </w:p>
    <w:p w14:paraId="5C312E31" w14:textId="5FCC74B5" w:rsidR="00DC02DF" w:rsidRPr="00AE55A8" w:rsidRDefault="0036307E" w:rsidP="00400416">
      <w:pPr>
        <w:ind w:left="1068"/>
        <w:jc w:val="both"/>
        <w:rPr>
          <w:b/>
        </w:rPr>
      </w:pPr>
      <w:r w:rsidRPr="00AE55A8">
        <w:t xml:space="preserve">Az adatkezelés célja: </w:t>
      </w:r>
      <w:r w:rsidR="002C7134" w:rsidRPr="00400416">
        <w:rPr>
          <w:b/>
        </w:rPr>
        <w:t>a közösségi terek megfigyelése azért, hogy lássák, mikor foglalta el mindenki a helyét, kezdődhet-e az előadás. A színpad megfigyelése az előadás zökkenőmentes lezajlása érdekében.</w:t>
      </w:r>
      <w:r w:rsidR="002C7134">
        <w:t xml:space="preserve"> </w:t>
      </w:r>
    </w:p>
    <w:p w14:paraId="09A4EA7B" w14:textId="32B1F20E" w:rsidR="00AE55A8" w:rsidRPr="00910BDF" w:rsidRDefault="00AE55A8" w:rsidP="00910BDF">
      <w:pPr>
        <w:ind w:left="1068"/>
        <w:jc w:val="both"/>
        <w:rPr>
          <w:b/>
        </w:rPr>
      </w:pPr>
      <w:r w:rsidRPr="00AE55A8">
        <w:t xml:space="preserve">Az adatok tárolása, és törlésének határideje: </w:t>
      </w:r>
      <w:r w:rsidR="002C7134">
        <w:t>Az adatok tárolására két hétig kerül sor, kivéve, ha felmerül az alapos gyanúja, hogy a felvételt szükséges lehet jogi igények érvényesítéséhez felhasználni: ebben az esetben a gyanú megalapozatlanságának bizonyításáig, vagy a jogérvényesítési eljárás jogerős lezárulásáig tárolásra kerül a felvétel.</w:t>
      </w:r>
    </w:p>
    <w:p w14:paraId="027F946B" w14:textId="77777777" w:rsidR="00570100" w:rsidRPr="00AE55A8" w:rsidRDefault="00570100" w:rsidP="001D16DC">
      <w:pPr>
        <w:jc w:val="both"/>
      </w:pPr>
    </w:p>
    <w:p w14:paraId="75B94F8D" w14:textId="33044E3F" w:rsidR="0046013A" w:rsidRPr="00AE55A8" w:rsidRDefault="002C7134" w:rsidP="00907E30">
      <w:pPr>
        <w:ind w:left="360"/>
        <w:jc w:val="both"/>
      </w:pPr>
      <w:r w:rsidRPr="00AE55A8" w:rsidDel="002C7134">
        <w:rPr>
          <w:b/>
        </w:rPr>
        <w:t xml:space="preserve"> </w:t>
      </w:r>
      <w:r w:rsidR="00907E30" w:rsidRPr="00AE55A8">
        <w:t xml:space="preserve">(3) </w:t>
      </w:r>
      <w:r w:rsidR="00DA5AF1" w:rsidRPr="00AE55A8">
        <w:t>A kamerával megfigyelt területek</w:t>
      </w:r>
    </w:p>
    <w:p w14:paraId="612DBF38" w14:textId="032C3C2D" w:rsidR="00184DBE" w:rsidRPr="00AE55A8" w:rsidRDefault="00184DBE" w:rsidP="00907E30">
      <w:pPr>
        <w:ind w:left="708"/>
        <w:jc w:val="both"/>
      </w:pPr>
      <w:r w:rsidRPr="00AE55A8">
        <w:t xml:space="preserve">Adatkezelő </w:t>
      </w:r>
      <w:r w:rsidR="002C7134">
        <w:t xml:space="preserve">5 darab kamerát helyezett el </w:t>
      </w:r>
      <w:r w:rsidRPr="00AE55A8">
        <w:t>az intézmény területén, amelyek az alábbi területeket figyeli</w:t>
      </w:r>
      <w:r w:rsidR="00FA1884" w:rsidRPr="00DC02DF">
        <w:t>k</w:t>
      </w:r>
      <w:r w:rsidRPr="00AE55A8">
        <w:t xml:space="preserve"> meg: </w:t>
      </w:r>
    </w:p>
    <w:p w14:paraId="355C3573" w14:textId="76A4FA77" w:rsidR="002C7134" w:rsidRDefault="002C7134" w:rsidP="00400416">
      <w:pPr>
        <w:pStyle w:val="Listaszerbekezds"/>
        <w:numPr>
          <w:ilvl w:val="0"/>
          <w:numId w:val="18"/>
        </w:numPr>
      </w:pPr>
      <w:r>
        <w:t>1 db a Kamarateremnél</w:t>
      </w:r>
    </w:p>
    <w:p w14:paraId="2D7B4D1A" w14:textId="3229A94F" w:rsidR="002C7134" w:rsidRDefault="002C7134" w:rsidP="00400416">
      <w:pPr>
        <w:pStyle w:val="Listaszerbekezds"/>
        <w:numPr>
          <w:ilvl w:val="0"/>
          <w:numId w:val="18"/>
        </w:numPr>
        <w:jc w:val="both"/>
      </w:pPr>
      <w:r>
        <w:t>1 db a Ruhatárnál</w:t>
      </w:r>
    </w:p>
    <w:p w14:paraId="6E49AD7E" w14:textId="0350FBC4" w:rsidR="002C7134" w:rsidRDefault="002C7134" w:rsidP="00400416">
      <w:pPr>
        <w:pStyle w:val="Listaszerbekezds"/>
        <w:numPr>
          <w:ilvl w:val="0"/>
          <w:numId w:val="18"/>
        </w:numPr>
        <w:jc w:val="both"/>
      </w:pPr>
      <w:r>
        <w:t>1 db a Bartók Teremben</w:t>
      </w:r>
    </w:p>
    <w:p w14:paraId="1B91ACD1" w14:textId="54D74D4B" w:rsidR="002C7134" w:rsidRDefault="002C7134" w:rsidP="00400416">
      <w:pPr>
        <w:pStyle w:val="Listaszerbekezds"/>
        <w:numPr>
          <w:ilvl w:val="0"/>
          <w:numId w:val="18"/>
        </w:numPr>
        <w:jc w:val="both"/>
      </w:pPr>
      <w:r>
        <w:t>1 db a Zrínyi utca felé, a Vészkijáratnál</w:t>
      </w:r>
    </w:p>
    <w:p w14:paraId="320B7A7D" w14:textId="48295E73" w:rsidR="002C7134" w:rsidRDefault="002C7134" w:rsidP="004D3852">
      <w:pPr>
        <w:pStyle w:val="Listaszerbekezds"/>
        <w:numPr>
          <w:ilvl w:val="0"/>
          <w:numId w:val="18"/>
        </w:numPr>
      </w:pPr>
      <w:r>
        <w:t>1 db a zárt parkolónál, a sorompóra néz</w:t>
      </w:r>
    </w:p>
    <w:p w14:paraId="3225081A" w14:textId="77777777" w:rsidR="00400416" w:rsidRDefault="00400416" w:rsidP="00400416">
      <w:pPr>
        <w:pStyle w:val="Listaszerbekezds"/>
        <w:ind w:left="3552"/>
        <w:jc w:val="both"/>
      </w:pPr>
    </w:p>
    <w:p w14:paraId="03219D2F" w14:textId="38DD580D" w:rsidR="00907E30" w:rsidRDefault="0046013A" w:rsidP="00910BDF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5" w:name="_Toc43975966"/>
      <w:r w:rsidRPr="00910BDF">
        <w:rPr>
          <w:rFonts w:ascii="Times New Roman" w:hAnsi="Times New Roman" w:cs="Times New Roman"/>
        </w:rPr>
        <w:t>Az érintettek jogai, jogorvo</w:t>
      </w:r>
      <w:r w:rsidR="006E2761" w:rsidRPr="00910BDF">
        <w:rPr>
          <w:rFonts w:ascii="Times New Roman" w:hAnsi="Times New Roman" w:cs="Times New Roman"/>
        </w:rPr>
        <w:t>slati lehetőségek</w:t>
      </w:r>
      <w:bookmarkEnd w:id="5"/>
    </w:p>
    <w:p w14:paraId="1E87C16B" w14:textId="77777777" w:rsidR="004D3852" w:rsidRPr="004D3852" w:rsidRDefault="004D3852" w:rsidP="004D3852"/>
    <w:p w14:paraId="554C6331" w14:textId="65C94D74" w:rsidR="0046013A" w:rsidRPr="00AE55A8" w:rsidRDefault="0046013A" w:rsidP="00910BDF">
      <w:pPr>
        <w:jc w:val="both"/>
      </w:pPr>
      <w:r w:rsidRPr="00AE55A8">
        <w:t>(1) Az érintettek bármikor tájékoztatást kérhetnek írásban az Adatkezelőtől az általa kezelt személyes adataik kezelésének módjáról.</w:t>
      </w:r>
    </w:p>
    <w:p w14:paraId="6E8633A7" w14:textId="77777777" w:rsidR="0046013A" w:rsidRPr="00AE55A8" w:rsidRDefault="0046013A" w:rsidP="00910BDF">
      <w:pPr>
        <w:jc w:val="both"/>
      </w:pPr>
      <w:r w:rsidRPr="00AE55A8">
        <w:t>(2) Az érintett törlési jogát a jogszabályban kötelezően előírt adatkezelések esetén nem gyakorolhatja.</w:t>
      </w:r>
    </w:p>
    <w:p w14:paraId="2D787A3E" w14:textId="76AD49F5" w:rsidR="0046013A" w:rsidRPr="00AE55A8" w:rsidRDefault="0046013A" w:rsidP="0066611B">
      <w:pPr>
        <w:jc w:val="both"/>
      </w:pPr>
      <w:r w:rsidRPr="00AE55A8">
        <w:t xml:space="preserve">(3) A tájékoztatáshoz való jog tartalma: Az érintett igénye alapján az Adatkezelő az érintett részére a személyes adatok kezelésére vonatkozó, a GDPR 13. és 14. cikkében felsorolt információkat, valamint a 15-22. és a 34. cikk szerinti tájékoztatásokat tömör, közérthető formában </w:t>
      </w:r>
      <w:r w:rsidR="00363AAD" w:rsidRPr="00AE55A8">
        <w:t>meg</w:t>
      </w:r>
      <w:r w:rsidRPr="00AE55A8">
        <w:t>adja.</w:t>
      </w:r>
    </w:p>
    <w:p w14:paraId="25F91D48" w14:textId="3598D2F6" w:rsidR="00027246" w:rsidRPr="00AE55A8" w:rsidRDefault="00027246" w:rsidP="00027246">
      <w:pPr>
        <w:jc w:val="both"/>
      </w:pPr>
      <w:r w:rsidRPr="00AE55A8">
        <w:t>(4) Az igényelt adatok kiadásának határideje az igény átvételétől számított 30 nap.</w:t>
      </w:r>
    </w:p>
    <w:p w14:paraId="3332266E" w14:textId="77777777" w:rsidR="00027246" w:rsidRPr="00AE55A8" w:rsidRDefault="00027246" w:rsidP="00910BDF">
      <w:pPr>
        <w:jc w:val="both"/>
      </w:pPr>
    </w:p>
    <w:p w14:paraId="01F657A5" w14:textId="70FB2EA4" w:rsidR="0046013A" w:rsidRPr="00AE55A8" w:rsidRDefault="0046013A" w:rsidP="00910BDF">
      <w:pPr>
        <w:jc w:val="both"/>
      </w:pPr>
      <w:r w:rsidRPr="00AE55A8">
        <w:t>(</w:t>
      </w:r>
      <w:r w:rsidR="00027246" w:rsidRPr="00AE55A8">
        <w:t>5</w:t>
      </w:r>
      <w:r w:rsidRPr="00AE55A8">
        <w:t>) A hozzáféréshez való jog tartalma: Az érintett megkeresésére az Adatkezelő tájékoztatást nyújt arról, hogy folyamatban van-e rá vonatkozó adatkezelés az Adatkezelőnél. Amennyiben Adatkezelőnél folyamatban van a kérelmezőre vonatkozó adatkezelés, az érintett jogosult hozzáférésre a következők tekintetében:</w:t>
      </w:r>
    </w:p>
    <w:p w14:paraId="628D147B" w14:textId="77777777" w:rsidR="0046013A" w:rsidRPr="00AE55A8" w:rsidRDefault="0046013A" w:rsidP="00907E30">
      <w:pPr>
        <w:ind w:left="1418"/>
        <w:jc w:val="both"/>
      </w:pPr>
      <w:r w:rsidRPr="00AE55A8">
        <w:t>a. A rá vonatkozó személyes adatok;</w:t>
      </w:r>
    </w:p>
    <w:p w14:paraId="59578DB9" w14:textId="77777777" w:rsidR="0046013A" w:rsidRPr="00AE55A8" w:rsidRDefault="0046013A" w:rsidP="00907E30">
      <w:pPr>
        <w:ind w:left="1418"/>
        <w:jc w:val="both"/>
      </w:pPr>
      <w:r w:rsidRPr="00AE55A8">
        <w:t>b. az adatkezelés célja(i);</w:t>
      </w:r>
    </w:p>
    <w:p w14:paraId="0EE4D74A" w14:textId="77777777" w:rsidR="0046013A" w:rsidRPr="00AE55A8" w:rsidRDefault="0046013A" w:rsidP="00907E30">
      <w:pPr>
        <w:ind w:left="1418"/>
        <w:jc w:val="both"/>
      </w:pPr>
      <w:r w:rsidRPr="00AE55A8">
        <w:t>c. az érintett személyes adatok kategóriái;</w:t>
      </w:r>
    </w:p>
    <w:p w14:paraId="7C23E6A1" w14:textId="77777777" w:rsidR="0046013A" w:rsidRPr="00AE55A8" w:rsidRDefault="0046013A" w:rsidP="00907E30">
      <w:pPr>
        <w:ind w:left="1418"/>
        <w:jc w:val="both"/>
      </w:pPr>
      <w:r w:rsidRPr="00AE55A8">
        <w:t>d. azon személyek, amelyekkel az érintett adatait közölték, vagy közölni fogják;</w:t>
      </w:r>
    </w:p>
    <w:p w14:paraId="0853A9E6" w14:textId="77777777" w:rsidR="0046013A" w:rsidRPr="00AE55A8" w:rsidRDefault="0046013A" w:rsidP="00907E30">
      <w:pPr>
        <w:ind w:left="1418"/>
        <w:jc w:val="both"/>
      </w:pPr>
      <w:r w:rsidRPr="00AE55A8">
        <w:lastRenderedPageBreak/>
        <w:t>e. az adatok tárolásának időtartama;</w:t>
      </w:r>
    </w:p>
    <w:p w14:paraId="0CA99654" w14:textId="77777777" w:rsidR="0046013A" w:rsidRPr="00AE55A8" w:rsidRDefault="0046013A" w:rsidP="00907E30">
      <w:pPr>
        <w:ind w:left="1418"/>
        <w:jc w:val="both"/>
      </w:pPr>
      <w:r w:rsidRPr="00AE55A8">
        <w:t>f. a helyesbítéshez, törléshez, valamint az adatkezelés korlátozásához való jog;</w:t>
      </w:r>
    </w:p>
    <w:p w14:paraId="60F8C9B7" w14:textId="77777777" w:rsidR="0046013A" w:rsidRPr="00AE55A8" w:rsidRDefault="0046013A" w:rsidP="00907E30">
      <w:pPr>
        <w:ind w:left="1418"/>
        <w:jc w:val="both"/>
      </w:pPr>
      <w:r w:rsidRPr="00AE55A8">
        <w:t>g. a bírósághoz, illetve felügyeleti hatósághoz fordulás joga;</w:t>
      </w:r>
    </w:p>
    <w:p w14:paraId="435F49F9" w14:textId="77777777" w:rsidR="0046013A" w:rsidRPr="00AE55A8" w:rsidRDefault="0046013A" w:rsidP="00907E30">
      <w:pPr>
        <w:ind w:left="1418"/>
        <w:jc w:val="both"/>
      </w:pPr>
      <w:r w:rsidRPr="00AE55A8">
        <w:t>h. a kezelt adatok forrása;</w:t>
      </w:r>
    </w:p>
    <w:p w14:paraId="39A59CCA" w14:textId="77777777" w:rsidR="0046013A" w:rsidRPr="00AE55A8" w:rsidRDefault="0046013A" w:rsidP="00907E30">
      <w:pPr>
        <w:ind w:left="1418"/>
        <w:jc w:val="both"/>
      </w:pPr>
      <w:r w:rsidRPr="00AE55A8">
        <w:t>i. profilalkotás és/vagy automatizált döntéshozatal, illetve ilyen alkalmazásának részletei, gyakorlati hatásai;</w:t>
      </w:r>
    </w:p>
    <w:p w14:paraId="217CC83A" w14:textId="77777777" w:rsidR="0046013A" w:rsidRPr="00AE55A8" w:rsidRDefault="0046013A" w:rsidP="00907E30">
      <w:pPr>
        <w:ind w:left="1418"/>
        <w:jc w:val="both"/>
      </w:pPr>
      <w:r w:rsidRPr="00AE55A8">
        <w:t>j. a kezelt adatok harmadik ország vagy nemzetközi szervezet részére való átadása.</w:t>
      </w:r>
    </w:p>
    <w:p w14:paraId="4B1A208D" w14:textId="77777777" w:rsidR="0046013A" w:rsidRPr="00AE55A8" w:rsidRDefault="0046013A" w:rsidP="001D16DC">
      <w:pPr>
        <w:jc w:val="both"/>
      </w:pPr>
    </w:p>
    <w:p w14:paraId="0DC7F0CF" w14:textId="095CBA11" w:rsidR="00363AAD" w:rsidRPr="00AE55A8" w:rsidRDefault="0046013A" w:rsidP="00363AAD">
      <w:pPr>
        <w:jc w:val="both"/>
      </w:pPr>
      <w:r w:rsidRPr="00AE55A8">
        <w:t>(</w:t>
      </w:r>
      <w:r w:rsidR="00027246" w:rsidRPr="00AE55A8">
        <w:t>6</w:t>
      </w:r>
      <w:r w:rsidRPr="00AE55A8">
        <w:t>) A fentiek szerinti adatigénylés esetén Adatkezelő az érintett</w:t>
      </w:r>
      <w:r w:rsidR="00363AAD" w:rsidRPr="00AE55A8">
        <w:t xml:space="preserve">nek betekintés engedhet a </w:t>
      </w:r>
      <w:r w:rsidRPr="00AE55A8">
        <w:t xml:space="preserve">kérelemnek megfelelő, általa kezelt </w:t>
      </w:r>
      <w:r w:rsidR="00363AAD" w:rsidRPr="00AE55A8">
        <w:t>felvételekbe</w:t>
      </w:r>
      <w:r w:rsidRPr="00AE55A8">
        <w:t>.</w:t>
      </w:r>
    </w:p>
    <w:p w14:paraId="4EB6DD9C" w14:textId="50F36D59" w:rsidR="00363AAD" w:rsidRPr="00910BDF" w:rsidRDefault="00363AAD" w:rsidP="00910BDF">
      <w:pPr>
        <w:pStyle w:val="NormlWeb"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AE55A8">
        <w:t>(</w:t>
      </w:r>
      <w:r w:rsidR="00027246" w:rsidRPr="00910BDF">
        <w:rPr>
          <w:rFonts w:eastAsiaTheme="minorHAnsi"/>
          <w:sz w:val="22"/>
          <w:szCs w:val="22"/>
          <w:lang w:eastAsia="en-US"/>
        </w:rPr>
        <w:t>7</w:t>
      </w:r>
      <w:r w:rsidRPr="00910BDF">
        <w:rPr>
          <w:rFonts w:eastAsiaTheme="minorHAnsi"/>
          <w:sz w:val="22"/>
          <w:szCs w:val="22"/>
          <w:lang w:eastAsia="en-US"/>
        </w:rPr>
        <w:t>) Akinek jogát vagy jogos érdekét a képfelvétel, illetve más személyes adatának rögzítése érinti, a rögzítéstől számított 3 (három) munkanapon belül jogának vagy jogos érdekének igazolásával kérheti, hogy az adatot annak kezelője ne semmisítse meg, illetve ne törölje, vagyis a felvételeket zárolja. A zárolás iránti kérelem a kamerák által rögzített felvételekbe való betekintésre vagy felvételen látható eseményre vonatkozó tájékoztatáskérésre irányulhat. A kérelem teljesíthetőségéről annak beérkezésétől számított 2 (kettő) napon belül dönt</w:t>
      </w:r>
      <w:r w:rsidR="00F2623E" w:rsidRPr="00910BDF">
        <w:rPr>
          <w:rFonts w:eastAsiaTheme="minorHAnsi"/>
          <w:sz w:val="22"/>
          <w:szCs w:val="22"/>
          <w:lang w:eastAsia="en-US"/>
        </w:rPr>
        <w:t xml:space="preserve"> az Adatkezelő</w:t>
      </w:r>
      <w:r w:rsidRPr="00910BDF">
        <w:rPr>
          <w:rFonts w:eastAsiaTheme="minorHAnsi"/>
          <w:sz w:val="22"/>
          <w:szCs w:val="22"/>
          <w:lang w:eastAsia="en-US"/>
        </w:rPr>
        <w:t xml:space="preserve">, melyről az érintettet írásban értesíteni köteles. </w:t>
      </w:r>
    </w:p>
    <w:p w14:paraId="4CE58084" w14:textId="77777777" w:rsidR="0046013A" w:rsidRPr="00AE55A8" w:rsidRDefault="0046013A" w:rsidP="00910BDF">
      <w:pPr>
        <w:jc w:val="both"/>
      </w:pPr>
      <w:r w:rsidRPr="00AE55A8">
        <w:t>(8) A helyesbítéshez való jog: Az érintett kérheti az Adatkezelő által kezelt, rá vonatkozó pontatlan adatok helyesbítését.</w:t>
      </w:r>
    </w:p>
    <w:p w14:paraId="1B802AC9" w14:textId="77777777" w:rsidR="0046013A" w:rsidRPr="00AE55A8" w:rsidRDefault="0046013A" w:rsidP="00910BDF">
      <w:pPr>
        <w:jc w:val="both"/>
      </w:pPr>
      <w:r w:rsidRPr="00AE55A8">
        <w:t>(9) A törléshez való jog: Amennyiben az alábbi indokok bármelyike fennáll, úgy az érintett kérésére Adatkezelő a legrövidebb időn belül, de legkésőbb 5 munkanapon belül, törli az érintettre vonatkozó adatokat:</w:t>
      </w:r>
    </w:p>
    <w:p w14:paraId="1EF62AE7" w14:textId="765AF1FC" w:rsidR="0046013A" w:rsidRPr="00AE55A8" w:rsidRDefault="00A72883" w:rsidP="00907E30">
      <w:pPr>
        <w:ind w:left="1418"/>
        <w:jc w:val="both"/>
      </w:pPr>
      <w:r>
        <w:t>a. a</w:t>
      </w:r>
      <w:r w:rsidR="0046013A" w:rsidRPr="00AE55A8">
        <w:t>z adatok jogellenesen (jogszabályi felhatalmazás vagy személyes hozzájárulás nélkül) kerültek kezelésre;</w:t>
      </w:r>
    </w:p>
    <w:p w14:paraId="64D89723" w14:textId="77777777" w:rsidR="0046013A" w:rsidRPr="00AE55A8" w:rsidRDefault="0046013A" w:rsidP="00907E30">
      <w:pPr>
        <w:ind w:left="1418"/>
        <w:jc w:val="both"/>
      </w:pPr>
      <w:r w:rsidRPr="00AE55A8">
        <w:t>b. az adatok kezelése szükségtelen az eredeti cél megvalósításához;</w:t>
      </w:r>
    </w:p>
    <w:p w14:paraId="642B14E5" w14:textId="77777777" w:rsidR="0046013A" w:rsidRPr="00AE55A8" w:rsidRDefault="0046013A" w:rsidP="00907E30">
      <w:pPr>
        <w:ind w:left="1418"/>
        <w:jc w:val="both"/>
      </w:pPr>
      <w:r w:rsidRPr="00AE55A8">
        <w:t>c. az érintett visszavonja hozzájárulását az adatkezeléshez, és az Adatkezelőnek nincs más jogalapja az adatkezelésre;</w:t>
      </w:r>
    </w:p>
    <w:p w14:paraId="63CD86B5" w14:textId="77777777" w:rsidR="0046013A" w:rsidRPr="00AE55A8" w:rsidRDefault="0046013A" w:rsidP="00907E30">
      <w:pPr>
        <w:ind w:left="1418"/>
        <w:jc w:val="both"/>
      </w:pPr>
      <w:r w:rsidRPr="00AE55A8">
        <w:t>d. a kérdéses adatok gyűjtésére információs társadalommal összefüggő szolgáltatások kínálásával kapcsolatban került sor;</w:t>
      </w:r>
    </w:p>
    <w:p w14:paraId="7AFC579A" w14:textId="38339120" w:rsidR="0046013A" w:rsidRPr="00AE55A8" w:rsidRDefault="0046013A" w:rsidP="00894D79">
      <w:pPr>
        <w:ind w:left="1418"/>
        <w:jc w:val="both"/>
      </w:pPr>
      <w:r w:rsidRPr="00AE55A8">
        <w:t>e. a személyes adatokat az Adatkezelőre vonatkozó jogszabályi kötelezettségek teljesítéséhez törölni kell.</w:t>
      </w:r>
    </w:p>
    <w:p w14:paraId="2D53553D" w14:textId="77777777" w:rsidR="00894D79" w:rsidRPr="00AE55A8" w:rsidRDefault="00894D79" w:rsidP="00894D79">
      <w:pPr>
        <w:ind w:left="1418"/>
        <w:jc w:val="both"/>
      </w:pPr>
    </w:p>
    <w:p w14:paraId="3DB9A6D5" w14:textId="77777777" w:rsidR="0046013A" w:rsidRPr="00AE55A8" w:rsidRDefault="0046013A" w:rsidP="00910BDF">
      <w:pPr>
        <w:jc w:val="both"/>
      </w:pPr>
      <w:r w:rsidRPr="00AE55A8">
        <w:t>(10) Az adatok törlését Adatkezelőnek nem áll módjában elvégezni, ha az adatkezelés az alábbiak bármelyikéhez szükséges a továbbiakban is:</w:t>
      </w:r>
    </w:p>
    <w:p w14:paraId="164204D6" w14:textId="77777777" w:rsidR="0046013A" w:rsidRPr="00AE55A8" w:rsidRDefault="0046013A" w:rsidP="00907E30">
      <w:pPr>
        <w:ind w:left="1418"/>
        <w:jc w:val="both"/>
      </w:pPr>
      <w:r w:rsidRPr="00AE55A8">
        <w:t>a. Az Adatkezelőre vonatkozó jogszabályi előírások teljesítéséhez szükséges a további adatkezelés;</w:t>
      </w:r>
    </w:p>
    <w:p w14:paraId="7DC035D8" w14:textId="77777777" w:rsidR="0046013A" w:rsidRPr="00AE55A8" w:rsidRDefault="0046013A" w:rsidP="00907E30">
      <w:pPr>
        <w:ind w:left="1418"/>
        <w:jc w:val="both"/>
      </w:pPr>
      <w:r w:rsidRPr="00AE55A8">
        <w:t>b. a véleménynyilvánításhoz és a tájékozódáshoz való jog gyakorlása céljából szükséges;</w:t>
      </w:r>
    </w:p>
    <w:p w14:paraId="51DE90D6" w14:textId="77777777" w:rsidR="0046013A" w:rsidRPr="00AE55A8" w:rsidRDefault="0046013A" w:rsidP="00907E30">
      <w:pPr>
        <w:ind w:left="1418"/>
        <w:jc w:val="both"/>
      </w:pPr>
      <w:r w:rsidRPr="00AE55A8">
        <w:t>c. közérdekből;</w:t>
      </w:r>
    </w:p>
    <w:p w14:paraId="626734D6" w14:textId="77777777" w:rsidR="0046013A" w:rsidRPr="00AE55A8" w:rsidRDefault="0046013A" w:rsidP="00907E30">
      <w:pPr>
        <w:ind w:left="1418"/>
        <w:jc w:val="both"/>
      </w:pPr>
      <w:r w:rsidRPr="00AE55A8">
        <w:t>d. archiválási, tudományos, kutatási vagy statisztikai célból;</w:t>
      </w:r>
    </w:p>
    <w:p w14:paraId="2C62E071" w14:textId="1A687329" w:rsidR="0046013A" w:rsidRPr="00AE55A8" w:rsidRDefault="0046013A" w:rsidP="00907E30">
      <w:pPr>
        <w:ind w:left="1418"/>
        <w:jc w:val="both"/>
      </w:pPr>
      <w:r w:rsidRPr="00AE55A8">
        <w:t>e. jogi igények érvényesítéséhez vagy védéséhez.</w:t>
      </w:r>
    </w:p>
    <w:p w14:paraId="3416BD45" w14:textId="77777777" w:rsidR="00907E30" w:rsidRPr="00AE55A8" w:rsidRDefault="00907E30" w:rsidP="00907E30">
      <w:pPr>
        <w:ind w:left="1418"/>
        <w:jc w:val="both"/>
      </w:pPr>
    </w:p>
    <w:p w14:paraId="68491BB3" w14:textId="77777777" w:rsidR="0046013A" w:rsidRPr="00AE55A8" w:rsidRDefault="0046013A" w:rsidP="00910BDF">
      <w:pPr>
        <w:jc w:val="both"/>
      </w:pPr>
      <w:r w:rsidRPr="00AE55A8">
        <w:t>(11) Az adatkezelés korlátozásához való jog: Amennyiben az alábbi indokok bármelyike fennáll, Adatkezelő korlátozza az adatkezelést az érintett kérelmére:</w:t>
      </w:r>
    </w:p>
    <w:p w14:paraId="57B89B43" w14:textId="77777777" w:rsidR="0046013A" w:rsidRPr="00AE55A8" w:rsidRDefault="0046013A" w:rsidP="00894D79">
      <w:pPr>
        <w:ind w:left="1416"/>
        <w:jc w:val="both"/>
      </w:pPr>
      <w:r w:rsidRPr="00AE55A8">
        <w:t>a. Az érintett vitatja a rá vonatkozó adatok pontosságát, ekkor a korlátozás arra az időre vonatkozik, ameddig a kérdéses adatok pontosságának, helyességének felülvizsgálata hitelt érdemlően megtörténik;</w:t>
      </w:r>
    </w:p>
    <w:p w14:paraId="60292F22" w14:textId="77777777" w:rsidR="0046013A" w:rsidRPr="00AE55A8" w:rsidRDefault="0046013A" w:rsidP="00894D79">
      <w:pPr>
        <w:ind w:left="1416"/>
        <w:jc w:val="both"/>
      </w:pPr>
      <w:r w:rsidRPr="00AE55A8">
        <w:t>b. az adatkezelés jogellenes, ugyanakkor az érintett kéri a törlés mellőzését, csupán az adatkezelés korlátozását kéri;</w:t>
      </w:r>
    </w:p>
    <w:p w14:paraId="2702045E" w14:textId="77777777" w:rsidR="0046013A" w:rsidRPr="00AE55A8" w:rsidRDefault="0046013A" w:rsidP="00894D79">
      <w:pPr>
        <w:ind w:left="1416"/>
        <w:jc w:val="both"/>
      </w:pPr>
      <w:r w:rsidRPr="00AE55A8">
        <w:lastRenderedPageBreak/>
        <w:t>c. az adatkezeléshez már nincs szükség az adatokra, de az érintett kéri azok további tárolását jogi igényei érvényesítéséhez vagy megvédéséhez;</w:t>
      </w:r>
    </w:p>
    <w:p w14:paraId="136E5BE6" w14:textId="77777777" w:rsidR="0046013A" w:rsidRPr="00AE55A8" w:rsidRDefault="0046013A" w:rsidP="00894D79">
      <w:pPr>
        <w:jc w:val="both"/>
      </w:pPr>
    </w:p>
    <w:p w14:paraId="0BC8408D" w14:textId="77777777" w:rsidR="0046013A" w:rsidRPr="00AE55A8" w:rsidRDefault="0046013A" w:rsidP="00910BDF">
      <w:pPr>
        <w:jc w:val="both"/>
      </w:pPr>
      <w:r w:rsidRPr="00AE55A8">
        <w:t>(12) Amennyiben az Adatkezelő korlátozást vezet be bármely kezelt adatra, úgy a korlátozás időtartama alatt kizárólag akkor, és annyiban kezeli az érintett adatot, amennyiben:</w:t>
      </w:r>
    </w:p>
    <w:p w14:paraId="1C612B54" w14:textId="77777777" w:rsidR="0046013A" w:rsidRPr="00AE55A8" w:rsidRDefault="0046013A" w:rsidP="00894D79">
      <w:pPr>
        <w:ind w:left="1418"/>
        <w:jc w:val="both"/>
      </w:pPr>
      <w:r w:rsidRPr="00AE55A8">
        <w:t>a. Az érintett ehhez hozzájárul;</w:t>
      </w:r>
    </w:p>
    <w:p w14:paraId="56C801A4" w14:textId="77777777" w:rsidR="0046013A" w:rsidRPr="00AE55A8" w:rsidRDefault="0046013A" w:rsidP="00894D79">
      <w:pPr>
        <w:ind w:left="1418"/>
        <w:jc w:val="both"/>
      </w:pPr>
      <w:r w:rsidRPr="00AE55A8">
        <w:t>b. jogi igények érvényesítéséhez vagy megvédéséhez szükséges;</w:t>
      </w:r>
    </w:p>
    <w:p w14:paraId="51F3DF65" w14:textId="77777777" w:rsidR="0046013A" w:rsidRPr="00AE55A8" w:rsidRDefault="0046013A" w:rsidP="00894D79">
      <w:pPr>
        <w:ind w:left="1418"/>
        <w:jc w:val="both"/>
      </w:pPr>
      <w:r w:rsidRPr="00AE55A8">
        <w:t>c. más személy jogainak érvényesítéséhez vagy megvédéséhez szükséges;</w:t>
      </w:r>
    </w:p>
    <w:p w14:paraId="13CE1856" w14:textId="510F4ED4" w:rsidR="0046013A" w:rsidRPr="00AE55A8" w:rsidRDefault="0046013A" w:rsidP="00894D79">
      <w:pPr>
        <w:ind w:left="1418"/>
        <w:jc w:val="both"/>
      </w:pPr>
      <w:r w:rsidRPr="00AE55A8">
        <w:t>d. közérdek érvényesítéséhez szükséges.</w:t>
      </w:r>
    </w:p>
    <w:p w14:paraId="53500976" w14:textId="77777777" w:rsidR="00894D79" w:rsidRPr="00AE55A8" w:rsidRDefault="00894D79" w:rsidP="00894D79">
      <w:pPr>
        <w:ind w:left="1418"/>
        <w:jc w:val="both"/>
      </w:pPr>
    </w:p>
    <w:p w14:paraId="69992C5F" w14:textId="2A940FF9" w:rsidR="0046013A" w:rsidRPr="00AE55A8" w:rsidRDefault="0046013A" w:rsidP="00910BDF">
      <w:pPr>
        <w:jc w:val="both"/>
      </w:pPr>
      <w:r w:rsidRPr="00AE55A8">
        <w:t>(1</w:t>
      </w:r>
      <w:r w:rsidR="00027246" w:rsidRPr="00AE55A8">
        <w:t>3</w:t>
      </w:r>
      <w:r w:rsidRPr="00AE55A8">
        <w:t>) Automatizál döntéshozatal és profilalkotás: Az érintettet megilleti a jogosultság, hogy ne legyen alanya kizárólag automatizált adatkezelésen (például profilalkotáson) alapuló olyan döntésnek, amely rá joghatással lenne, vagy egyébként hátrányosan érintené. Nem alkalmazható ezen jogosultság, ha:</w:t>
      </w:r>
    </w:p>
    <w:p w14:paraId="34481BDE" w14:textId="77777777" w:rsidR="0046013A" w:rsidRPr="00AE55A8" w:rsidRDefault="0046013A" w:rsidP="00894D79">
      <w:pPr>
        <w:ind w:left="1418"/>
        <w:jc w:val="both"/>
      </w:pPr>
      <w:r w:rsidRPr="00AE55A8">
        <w:t>a. az adatkezelés elengedhetetlen az érintett és az Adatkezelő közötti szerződés megkötése vagy teljesítése céljából;</w:t>
      </w:r>
    </w:p>
    <w:p w14:paraId="4D61E7F1" w14:textId="77777777" w:rsidR="0046013A" w:rsidRPr="00AE55A8" w:rsidRDefault="0046013A" w:rsidP="00894D79">
      <w:pPr>
        <w:ind w:left="1418"/>
        <w:jc w:val="both"/>
      </w:pPr>
      <w:r w:rsidRPr="00AE55A8">
        <w:t>b. az érintett kifejezetten hozzájárul ilyen eljárás alkalmazásához;</w:t>
      </w:r>
    </w:p>
    <w:p w14:paraId="400BEFA7" w14:textId="77777777" w:rsidR="0046013A" w:rsidRPr="00AE55A8" w:rsidRDefault="0046013A" w:rsidP="00894D79">
      <w:pPr>
        <w:ind w:left="1418"/>
        <w:jc w:val="both"/>
      </w:pPr>
      <w:r w:rsidRPr="00AE55A8">
        <w:t>c. alkalmazását jogszabály engedélyezi;</w:t>
      </w:r>
    </w:p>
    <w:p w14:paraId="24F5B11C" w14:textId="77777777" w:rsidR="0046013A" w:rsidRPr="00AE55A8" w:rsidRDefault="0046013A" w:rsidP="00894D79">
      <w:pPr>
        <w:ind w:left="1418"/>
        <w:jc w:val="both"/>
      </w:pPr>
      <w:r w:rsidRPr="00AE55A8">
        <w:t>d. szükséges jogi igények érvényesítéséhez vagy védéséhez.</w:t>
      </w:r>
    </w:p>
    <w:p w14:paraId="0098580B" w14:textId="77777777" w:rsidR="00365BB0" w:rsidRPr="00AE55A8" w:rsidRDefault="00365BB0" w:rsidP="001D16DC">
      <w:pPr>
        <w:jc w:val="both"/>
      </w:pPr>
    </w:p>
    <w:p w14:paraId="6F763B71" w14:textId="5B3F7108" w:rsidR="00365BB0" w:rsidRPr="00910BDF" w:rsidRDefault="00365BB0" w:rsidP="00910BDF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 xml:space="preserve"> </w:t>
      </w:r>
      <w:bookmarkStart w:id="6" w:name="_Toc43975967"/>
      <w:r w:rsidRPr="00910BDF">
        <w:rPr>
          <w:rFonts w:ascii="Times New Roman" w:hAnsi="Times New Roman" w:cs="Times New Roman"/>
        </w:rPr>
        <w:t>Kapcsolatfelvétel</w:t>
      </w:r>
      <w:bookmarkEnd w:id="6"/>
    </w:p>
    <w:p w14:paraId="7FAEED96" w14:textId="77777777" w:rsidR="00894D79" w:rsidRPr="00AE55A8" w:rsidRDefault="00894D79" w:rsidP="00894D79"/>
    <w:p w14:paraId="25D346A7" w14:textId="77777777" w:rsidR="00365BB0" w:rsidRPr="00AE55A8" w:rsidRDefault="00365BB0" w:rsidP="00910BDF">
      <w:pPr>
        <w:jc w:val="both"/>
      </w:pPr>
      <w:r w:rsidRPr="00AE55A8">
        <w:t>(1) Az Adatkezelővel való kapcsolatfelvétel során beérkező e-mailt, és annak tartalmát (így különösen a feladó nevét, címét, a dátu</w:t>
      </w:r>
      <w:r w:rsidRPr="00DC02DF">
        <w:t>mot, a csatolmányokat) az Adatkezelő 5 évig tárolja, majd törli. Ez alól kivételt képez az olyan közlés, amelynek tartalmát Adatkezelő jelentéktelennek ítéli meg, ezért 30 napon belül törli.</w:t>
      </w:r>
    </w:p>
    <w:p w14:paraId="354A4990" w14:textId="77777777" w:rsidR="00365BB0" w:rsidRPr="00AE55A8" w:rsidRDefault="00365BB0" w:rsidP="001D16DC">
      <w:pPr>
        <w:jc w:val="both"/>
      </w:pPr>
    </w:p>
    <w:p w14:paraId="37F8DE29" w14:textId="528740AF" w:rsidR="00365BB0" w:rsidRPr="00910BDF" w:rsidRDefault="00365BB0" w:rsidP="00910BDF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7" w:name="_Toc43975968"/>
      <w:r w:rsidRPr="00910BDF">
        <w:rPr>
          <w:rFonts w:ascii="Times New Roman" w:hAnsi="Times New Roman" w:cs="Times New Roman"/>
        </w:rPr>
        <w:t>Az adatok</w:t>
      </w:r>
      <w:r w:rsidR="009C354B" w:rsidRPr="00910BDF">
        <w:rPr>
          <w:rFonts w:ascii="Times New Roman" w:hAnsi="Times New Roman" w:cs="Times New Roman"/>
        </w:rPr>
        <w:t xml:space="preserve"> tárolásának módja, biztosítása</w:t>
      </w:r>
      <w:bookmarkEnd w:id="7"/>
    </w:p>
    <w:p w14:paraId="6F680B57" w14:textId="77777777" w:rsidR="00894D79" w:rsidRPr="00AE55A8" w:rsidRDefault="00894D79" w:rsidP="00894D79"/>
    <w:p w14:paraId="616FA6D4" w14:textId="77777777" w:rsidR="00365BB0" w:rsidRPr="00DC02DF" w:rsidRDefault="00365BB0" w:rsidP="00910BDF">
      <w:pPr>
        <w:jc w:val="both"/>
      </w:pPr>
      <w:r w:rsidRPr="00AE55A8">
        <w:t xml:space="preserve">(1) Adatkezelő az általa kezelt adatokat - zárt láncú kamerarendszerben, elektronikus formában – a székhelyén őrzi. </w:t>
      </w:r>
    </w:p>
    <w:p w14:paraId="13600E5A" w14:textId="77777777" w:rsidR="00365BB0" w:rsidRPr="00AE55A8" w:rsidRDefault="00365BB0" w:rsidP="00910BDF">
      <w:pPr>
        <w:jc w:val="both"/>
      </w:pPr>
      <w:r w:rsidRPr="00AE55A8">
        <w:t>(2) Az (1) pont alól kivételt képeznek az Adatkezelő adatfeldolgozóinál tárolt adatok, amelyek őrzési helye az adatfeldolgozók székhelyén található.</w:t>
      </w:r>
      <w:r w:rsidR="00FA1884" w:rsidRPr="00AE55A8">
        <w:t xml:space="preserve"> A biztonsági kamerákat a Victor kliens munkaállomásokon keresztül az üzemeltetővel szerződött biztonsági szolgálat kezeli, felügyeli.</w:t>
      </w:r>
    </w:p>
    <w:p w14:paraId="6713456B" w14:textId="77777777" w:rsidR="00365BB0" w:rsidRPr="00AE55A8" w:rsidRDefault="00365BB0" w:rsidP="00910BDF">
      <w:pPr>
        <w:jc w:val="both"/>
      </w:pPr>
      <w:r w:rsidRPr="00AE55A8">
        <w:t>(3) Adatkezelő a működéséhez olyan informatikai rends</w:t>
      </w:r>
      <w:r w:rsidR="00DA5AF1" w:rsidRPr="00AE55A8">
        <w:t xml:space="preserve">zert használ, amely biztosítja, </w:t>
      </w:r>
      <w:r w:rsidRPr="00AE55A8">
        <w:t>hogy az adatok:</w:t>
      </w:r>
    </w:p>
    <w:p w14:paraId="695B18F3" w14:textId="77777777" w:rsidR="00365BB0" w:rsidRPr="00AE55A8" w:rsidRDefault="00365BB0" w:rsidP="00894D79">
      <w:pPr>
        <w:ind w:left="1418"/>
        <w:jc w:val="both"/>
      </w:pPr>
      <w:r w:rsidRPr="00AE55A8">
        <w:t>a. változatlansága igazolható legyen (adatintegritás);</w:t>
      </w:r>
    </w:p>
    <w:p w14:paraId="66D8FE83" w14:textId="77777777" w:rsidR="00365BB0" w:rsidRPr="00AE55A8" w:rsidRDefault="00365BB0" w:rsidP="00894D79">
      <w:pPr>
        <w:ind w:left="1418"/>
        <w:jc w:val="both"/>
      </w:pPr>
      <w:r w:rsidRPr="00AE55A8">
        <w:t>b. hitelessége biztosított legyen (adatkezelés hitelessége);</w:t>
      </w:r>
    </w:p>
    <w:p w14:paraId="2DA8D86F" w14:textId="77777777" w:rsidR="00365BB0" w:rsidRPr="00AE55A8" w:rsidRDefault="00365BB0" w:rsidP="00894D79">
      <w:pPr>
        <w:ind w:left="1418"/>
        <w:jc w:val="both"/>
      </w:pPr>
      <w:r w:rsidRPr="00AE55A8">
        <w:t>c. az arra jogosultak számára hozzáférhetőek legyenek (rendelkezésre állás);</w:t>
      </w:r>
    </w:p>
    <w:p w14:paraId="4183E2EE" w14:textId="77777777" w:rsidR="00365BB0" w:rsidRPr="00AE55A8" w:rsidRDefault="00365BB0" w:rsidP="00894D79">
      <w:pPr>
        <w:ind w:left="1418"/>
        <w:jc w:val="both"/>
      </w:pPr>
      <w:r w:rsidRPr="00AE55A8">
        <w:t>d. illetve, hogy a jogosultalan hozzá</w:t>
      </w:r>
      <w:r w:rsidR="00DA5AF1" w:rsidRPr="00AE55A8">
        <w:t xml:space="preserve">férés ellen védett legyen (adat </w:t>
      </w:r>
      <w:r w:rsidRPr="00AE55A8">
        <w:t>bizalmassága).</w:t>
      </w:r>
    </w:p>
    <w:p w14:paraId="7BA59EAC" w14:textId="77777777" w:rsidR="00365BB0" w:rsidRPr="00AE55A8" w:rsidRDefault="00365BB0" w:rsidP="001D16DC">
      <w:pPr>
        <w:jc w:val="both"/>
      </w:pPr>
    </w:p>
    <w:p w14:paraId="1BC52100" w14:textId="77777777" w:rsidR="00365BB0" w:rsidRPr="00AE55A8" w:rsidRDefault="00365BB0" w:rsidP="00910BDF">
      <w:pPr>
        <w:jc w:val="both"/>
      </w:pPr>
      <w:r w:rsidRPr="00AE55A8">
        <w:t>(4) Az adatok védelme kiterjed különösen:</w:t>
      </w:r>
    </w:p>
    <w:p w14:paraId="748FC1DB" w14:textId="77777777" w:rsidR="00365BB0" w:rsidRPr="00AE55A8" w:rsidRDefault="00365BB0" w:rsidP="00894D79">
      <w:pPr>
        <w:ind w:left="1418"/>
        <w:jc w:val="both"/>
      </w:pPr>
      <w:r w:rsidRPr="00AE55A8">
        <w:t>a. a jogosultalan hozzáférésre;</w:t>
      </w:r>
    </w:p>
    <w:p w14:paraId="4A0CEBFD" w14:textId="77777777" w:rsidR="00365BB0" w:rsidRPr="00AE55A8" w:rsidRDefault="00365BB0" w:rsidP="00894D79">
      <w:pPr>
        <w:ind w:left="1418"/>
        <w:jc w:val="both"/>
      </w:pPr>
      <w:r w:rsidRPr="00AE55A8">
        <w:t>b. megváltoztatásra;</w:t>
      </w:r>
    </w:p>
    <w:p w14:paraId="6CC62572" w14:textId="77777777" w:rsidR="00365BB0" w:rsidRPr="00AE55A8" w:rsidRDefault="00365BB0" w:rsidP="00894D79">
      <w:pPr>
        <w:ind w:left="1418"/>
        <w:jc w:val="both"/>
      </w:pPr>
      <w:r w:rsidRPr="00AE55A8">
        <w:t>c. továbbításra;</w:t>
      </w:r>
    </w:p>
    <w:p w14:paraId="08976CC5" w14:textId="77777777" w:rsidR="00365BB0" w:rsidRPr="00AE55A8" w:rsidRDefault="00365BB0" w:rsidP="00894D79">
      <w:pPr>
        <w:ind w:left="1418"/>
        <w:jc w:val="both"/>
      </w:pPr>
      <w:r w:rsidRPr="00AE55A8">
        <w:t>d. törlésre;</w:t>
      </w:r>
    </w:p>
    <w:p w14:paraId="343479D7" w14:textId="77777777" w:rsidR="00365BB0" w:rsidRPr="00AE55A8" w:rsidRDefault="00365BB0" w:rsidP="00894D79">
      <w:pPr>
        <w:ind w:left="1418"/>
        <w:jc w:val="both"/>
      </w:pPr>
      <w:r w:rsidRPr="00AE55A8">
        <w:t>e. nyilvánosságra hozatalra;</w:t>
      </w:r>
    </w:p>
    <w:p w14:paraId="5C32F064" w14:textId="77777777" w:rsidR="00365BB0" w:rsidRPr="00AE55A8" w:rsidRDefault="00365BB0" w:rsidP="00894D79">
      <w:pPr>
        <w:ind w:left="1418"/>
        <w:jc w:val="both"/>
      </w:pPr>
      <w:r w:rsidRPr="00AE55A8">
        <w:lastRenderedPageBreak/>
        <w:t>f. véletlen sérülésre;</w:t>
      </w:r>
    </w:p>
    <w:p w14:paraId="293D0A84" w14:textId="77777777" w:rsidR="00365BB0" w:rsidRPr="00AE55A8" w:rsidRDefault="00DA5AF1" w:rsidP="00894D79">
      <w:pPr>
        <w:ind w:left="1418"/>
        <w:jc w:val="both"/>
      </w:pPr>
      <w:r w:rsidRPr="00AE55A8">
        <w:t>g. véletlen megsemmisülésre;</w:t>
      </w:r>
    </w:p>
    <w:p w14:paraId="3155214C" w14:textId="2DF45DA6" w:rsidR="00365BB0" w:rsidRPr="00AE55A8" w:rsidRDefault="00365BB0" w:rsidP="00894D79">
      <w:pPr>
        <w:ind w:left="1418"/>
        <w:jc w:val="both"/>
      </w:pPr>
      <w:r w:rsidRPr="00AE55A8">
        <w:t>h. illetve az alkalmazott technika megv</w:t>
      </w:r>
      <w:r w:rsidR="00DA5AF1" w:rsidRPr="00AE55A8">
        <w:t xml:space="preserve">áltozása megváltozásából fakadó </w:t>
      </w:r>
      <w:r w:rsidR="009C354B" w:rsidRPr="00AE55A8">
        <w:t>hozzáférhetetlenné válásra.</w:t>
      </w:r>
    </w:p>
    <w:p w14:paraId="12B96FAA" w14:textId="77777777" w:rsidR="00894D79" w:rsidRPr="00AE55A8" w:rsidRDefault="00894D79" w:rsidP="00894D79">
      <w:pPr>
        <w:ind w:left="1418"/>
        <w:jc w:val="both"/>
      </w:pPr>
    </w:p>
    <w:p w14:paraId="29EB1E34" w14:textId="77777777" w:rsidR="00365BB0" w:rsidRPr="00AE55A8" w:rsidRDefault="00365BB0" w:rsidP="00910BDF">
      <w:pPr>
        <w:jc w:val="both"/>
      </w:pPr>
      <w:r w:rsidRPr="00AE55A8">
        <w:t>(5) Adatkezelő az elektronikusan kezelt adat</w:t>
      </w:r>
      <w:r w:rsidR="00DA5AF1" w:rsidRPr="00AE55A8">
        <w:t xml:space="preserve">ok védelme érdekében a technika </w:t>
      </w:r>
      <w:r w:rsidRPr="00AE55A8">
        <w:t>mindenkori állása szerint megfelelő szintű biztonság</w:t>
      </w:r>
      <w:r w:rsidR="00DA5AF1" w:rsidRPr="00AE55A8">
        <w:t xml:space="preserve">ot nyújtó megoldást alkalmaz. A </w:t>
      </w:r>
      <w:r w:rsidRPr="00AE55A8">
        <w:t>megfelelőség vizsgálata során különös hangsúlyt kap az Adatkezelőnél</w:t>
      </w:r>
      <w:r w:rsidR="00DA5AF1" w:rsidRPr="00AE55A8">
        <w:t xml:space="preserve"> végzett </w:t>
      </w:r>
      <w:r w:rsidRPr="00AE55A8">
        <w:t>adatkezelés során felmerülő kockázat mértéke. Az i</w:t>
      </w:r>
      <w:r w:rsidR="00DA5AF1" w:rsidRPr="00AE55A8">
        <w:t xml:space="preserve">nformatikai védelem biztosítja, </w:t>
      </w:r>
      <w:r w:rsidRPr="00AE55A8">
        <w:t>hogy a tárolt adatok közvetlenül ne legyenek az é</w:t>
      </w:r>
      <w:r w:rsidR="00DA5AF1" w:rsidRPr="00AE55A8">
        <w:t xml:space="preserve">rintettetekhez rendelhetők vagy </w:t>
      </w:r>
      <w:r w:rsidRPr="00AE55A8">
        <w:t>összekapcsolhatók (kivéve, ha jogszabály azt megengedi).</w:t>
      </w:r>
    </w:p>
    <w:p w14:paraId="3BF27035" w14:textId="77777777" w:rsidR="00365BB0" w:rsidRPr="00AE55A8" w:rsidRDefault="00365BB0" w:rsidP="00910BDF">
      <w:pPr>
        <w:jc w:val="both"/>
      </w:pPr>
      <w:r w:rsidRPr="00AE55A8">
        <w:t>(6) Az Adatkezelő az adatkezelése során biztosítja, hogy:</w:t>
      </w:r>
    </w:p>
    <w:p w14:paraId="5EC76763" w14:textId="77777777" w:rsidR="00365BB0" w:rsidRPr="00AE55A8" w:rsidRDefault="00365BB0" w:rsidP="00894D79">
      <w:pPr>
        <w:ind w:left="1418"/>
        <w:jc w:val="both"/>
      </w:pPr>
      <w:r w:rsidRPr="00AE55A8">
        <w:t>a. az arra jogosult hozzá tudjon férni az adatokhoz, amikor szüksége van rá;</w:t>
      </w:r>
    </w:p>
    <w:p w14:paraId="22D61B68" w14:textId="77777777" w:rsidR="00365BB0" w:rsidRPr="00AE55A8" w:rsidRDefault="00365BB0" w:rsidP="00894D79">
      <w:pPr>
        <w:ind w:left="1418"/>
        <w:jc w:val="both"/>
      </w:pPr>
      <w:r w:rsidRPr="00AE55A8">
        <w:t>b. csak az férjen az információkhoz, aki erre jogosult;</w:t>
      </w:r>
    </w:p>
    <w:p w14:paraId="399EFDBE" w14:textId="0408E868" w:rsidR="00365BB0" w:rsidRPr="00AE55A8" w:rsidRDefault="00365BB0" w:rsidP="00894D79">
      <w:pPr>
        <w:ind w:left="1418"/>
        <w:jc w:val="both"/>
      </w:pPr>
      <w:r w:rsidRPr="00AE55A8">
        <w:t>c. az információ és a feldolgozás módszerének</w:t>
      </w:r>
      <w:r w:rsidR="00DA5AF1" w:rsidRPr="00AE55A8">
        <w:t xml:space="preserve"> pontossága és teljessége védve </w:t>
      </w:r>
      <w:r w:rsidR="009C354B" w:rsidRPr="00AE55A8">
        <w:t>legyen.</w:t>
      </w:r>
    </w:p>
    <w:p w14:paraId="64C8900E" w14:textId="77777777" w:rsidR="00894D79" w:rsidRPr="00AE55A8" w:rsidRDefault="00894D79" w:rsidP="00894D79">
      <w:pPr>
        <w:ind w:left="1418"/>
        <w:jc w:val="both"/>
      </w:pPr>
    </w:p>
    <w:p w14:paraId="2379333F" w14:textId="77777777" w:rsidR="00365BB0" w:rsidRPr="00AE55A8" w:rsidRDefault="00365BB0" w:rsidP="00910BDF">
      <w:pPr>
        <w:jc w:val="both"/>
      </w:pPr>
      <w:r w:rsidRPr="00AE55A8">
        <w:t>(7) Az Adatkezelő, és esetlegesen igénybe vett ada</w:t>
      </w:r>
      <w:r w:rsidR="00DA5AF1" w:rsidRPr="00AE55A8">
        <w:t xml:space="preserve">tfeldolgozói mindenkor védelmet </w:t>
      </w:r>
      <w:r w:rsidRPr="00AE55A8">
        <w:t>biztosítanak informatikai rendszereik ellen irán</w:t>
      </w:r>
      <w:r w:rsidR="00DA5AF1" w:rsidRPr="00AE55A8">
        <w:t xml:space="preserve">yuló csalás, kémkedés, vírusok, </w:t>
      </w:r>
      <w:r w:rsidRPr="00AE55A8">
        <w:t>betörések, rongálás, természeti csapáso</w:t>
      </w:r>
      <w:r w:rsidR="00DA5AF1" w:rsidRPr="00AE55A8">
        <w:t xml:space="preserve">k ellen. Adatkezelő (illetve az </w:t>
      </w:r>
      <w:r w:rsidRPr="00AE55A8">
        <w:t>adatfeldolgozó) szerverszintű és alkalmazásszintű védelmi eljárásokat alkalmaz.</w:t>
      </w:r>
    </w:p>
    <w:p w14:paraId="227824F8" w14:textId="6628270E" w:rsidR="00DA5AF1" w:rsidRPr="00AE55A8" w:rsidRDefault="00365BB0" w:rsidP="00910BDF">
      <w:pPr>
        <w:jc w:val="both"/>
      </w:pPr>
      <w:r w:rsidRPr="00AE55A8">
        <w:t xml:space="preserve">(8) Az Adatkezelő felé interneten keresztül – bármely </w:t>
      </w:r>
      <w:r w:rsidR="00DA5AF1" w:rsidRPr="00AE55A8">
        <w:t xml:space="preserve">formában – továbbított üzenetek </w:t>
      </w:r>
      <w:r w:rsidRPr="00AE55A8">
        <w:t>fokozottan ki vannak téve az olyan hálózati fenyeget</w:t>
      </w:r>
      <w:r w:rsidR="00DA5AF1" w:rsidRPr="00AE55A8">
        <w:t xml:space="preserve">éseknek, amelyek az információk </w:t>
      </w:r>
      <w:r w:rsidRPr="00AE55A8">
        <w:t>módosítására, illetékteleneknek való hoz</w:t>
      </w:r>
      <w:r w:rsidR="00DA5AF1" w:rsidRPr="00AE55A8">
        <w:t xml:space="preserve">záférésre, vagy egyéb illegális </w:t>
      </w:r>
      <w:r w:rsidRPr="00AE55A8">
        <w:t>tevékenységre vezetnek. Az ilyen veszélyek elhárí</w:t>
      </w:r>
      <w:r w:rsidR="00DA5AF1" w:rsidRPr="00AE55A8">
        <w:t xml:space="preserve">tására ugyanakkor az Adatkezelő </w:t>
      </w:r>
      <w:r w:rsidRPr="00AE55A8">
        <w:t>mindent megtesz, ami a mindenkori technika állása s</w:t>
      </w:r>
      <w:r w:rsidR="00DA5AF1" w:rsidRPr="00AE55A8">
        <w:t xml:space="preserve">zerint, ésszerűen megtehető, és </w:t>
      </w:r>
      <w:r w:rsidRPr="00AE55A8">
        <w:t>tőle elvárható. Ennek érdekében az alkalmazott rends</w:t>
      </w:r>
      <w:r w:rsidR="00DA5AF1" w:rsidRPr="00AE55A8">
        <w:t xml:space="preserve">zerek megfigyelés alatt állnak, </w:t>
      </w:r>
      <w:r w:rsidRPr="00AE55A8">
        <w:t>hogy a biztonsági eltéréseket rögzíthesse, hogy bi</w:t>
      </w:r>
      <w:r w:rsidR="00DA5AF1" w:rsidRPr="00AE55A8">
        <w:t xml:space="preserve">zonyítékot szerezzen biztonsági </w:t>
      </w:r>
      <w:r w:rsidRPr="00AE55A8">
        <w:t>eseményre vonatkozólag, illetve, hogy</w:t>
      </w:r>
      <w:r w:rsidR="00DA5AF1" w:rsidRPr="00AE55A8">
        <w:t xml:space="preserve"> vizsgálhassa az óvintézkedések </w:t>
      </w:r>
      <w:r w:rsidR="009C354B" w:rsidRPr="00AE55A8">
        <w:t>hatékonyságát.</w:t>
      </w:r>
    </w:p>
    <w:p w14:paraId="1B0F9C72" w14:textId="77777777" w:rsidR="009C354B" w:rsidRPr="00AE55A8" w:rsidRDefault="009C354B" w:rsidP="001D16DC">
      <w:pPr>
        <w:jc w:val="both"/>
      </w:pPr>
    </w:p>
    <w:p w14:paraId="762F07BF" w14:textId="2B3E7EEF" w:rsidR="00DA5AF1" w:rsidRPr="00910BDF" w:rsidRDefault="00DA5AF1" w:rsidP="00910BDF">
      <w:pPr>
        <w:pStyle w:val="Cmsor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8" w:name="_Toc43975969"/>
      <w:r w:rsidRPr="00910BDF">
        <w:rPr>
          <w:rFonts w:ascii="Times New Roman" w:hAnsi="Times New Roman" w:cs="Times New Roman"/>
        </w:rPr>
        <w:t>Eljárási szabályok</w:t>
      </w:r>
      <w:bookmarkEnd w:id="8"/>
    </w:p>
    <w:p w14:paraId="0549196F" w14:textId="77777777" w:rsidR="00DA5AF1" w:rsidRPr="00AE55A8" w:rsidRDefault="00DA5AF1" w:rsidP="001D16DC">
      <w:pPr>
        <w:jc w:val="both"/>
      </w:pPr>
    </w:p>
    <w:p w14:paraId="6061724B" w14:textId="77777777" w:rsidR="00DA5AF1" w:rsidRPr="00AE55A8" w:rsidRDefault="00DA5AF1" w:rsidP="00910BDF">
      <w:pPr>
        <w:jc w:val="both"/>
      </w:pPr>
      <w:r w:rsidRPr="00AE55A8">
        <w:t xml:space="preserve">(1) Amennyiben az Adatkezelőhöz a GDPR 15-22. </w:t>
      </w:r>
      <w:r w:rsidR="00BE05D7" w:rsidRPr="00AE55A8">
        <w:t xml:space="preserve">cikke szerinti valamely kérelem </w:t>
      </w:r>
      <w:r w:rsidRPr="00AE55A8">
        <w:t>érkezik be, úgy adatkezelő a lehető leggyorsabb</w:t>
      </w:r>
      <w:r w:rsidR="00BE05D7" w:rsidRPr="00DC02DF">
        <w:t xml:space="preserve">an, de legkésőbb 30 napon belül </w:t>
      </w:r>
      <w:r w:rsidRPr="00AE55A8">
        <w:t>írásban tájékoztatja az érintettet a kérelem alapján foganatosított intézkedésekről.</w:t>
      </w:r>
    </w:p>
    <w:p w14:paraId="156A7F37" w14:textId="77777777" w:rsidR="00DA5AF1" w:rsidRPr="00AE55A8" w:rsidRDefault="00DA5AF1" w:rsidP="00910BDF">
      <w:pPr>
        <w:jc w:val="both"/>
      </w:pPr>
      <w:r w:rsidRPr="00AE55A8">
        <w:t xml:space="preserve">(2) Amennyiben a kérelem összetettsége vagy egyéb </w:t>
      </w:r>
      <w:r w:rsidR="00BE05D7" w:rsidRPr="00AE55A8">
        <w:t xml:space="preserve">objektív körülmény indokolja, a </w:t>
      </w:r>
      <w:r w:rsidRPr="00AE55A8">
        <w:t>fenti határidő egyszer, legfeljebb 60 nappa</w:t>
      </w:r>
      <w:r w:rsidR="00BE05D7" w:rsidRPr="00AE55A8">
        <w:t xml:space="preserve">l meghosszabbítható. A határidő </w:t>
      </w:r>
      <w:r w:rsidRPr="00AE55A8">
        <w:t>meghosszabbításáról Adatkezelő írásban értesíti a</w:t>
      </w:r>
      <w:r w:rsidR="00BE05D7" w:rsidRPr="00AE55A8">
        <w:t xml:space="preserve">z érintettet, a meghosszabbítás </w:t>
      </w:r>
      <w:r w:rsidRPr="00AE55A8">
        <w:t>megfelelő indoklásával együtt.</w:t>
      </w:r>
    </w:p>
    <w:p w14:paraId="319F1DE6" w14:textId="77777777" w:rsidR="00DA5AF1" w:rsidRPr="00AE55A8" w:rsidRDefault="00DA5AF1" w:rsidP="00910BDF">
      <w:pPr>
        <w:jc w:val="both"/>
      </w:pPr>
      <w:r w:rsidRPr="00AE55A8">
        <w:t>(3) Adatkezelő a tájékoztatást ingyenesen biztosítja, kivéve, ha:</w:t>
      </w:r>
    </w:p>
    <w:p w14:paraId="404ACDE2" w14:textId="77777777" w:rsidR="00DA5AF1" w:rsidRPr="00AE55A8" w:rsidRDefault="00DA5AF1" w:rsidP="00894D79">
      <w:pPr>
        <w:ind w:left="1418"/>
        <w:jc w:val="both"/>
      </w:pPr>
      <w:r w:rsidRPr="00AE55A8">
        <w:t>a. az érintett ismételten, lényeg</w:t>
      </w:r>
      <w:r w:rsidR="00BE05D7" w:rsidRPr="00AE55A8">
        <w:t xml:space="preserve">ében változatlan tartalomra kér </w:t>
      </w:r>
      <w:r w:rsidRPr="00AE55A8">
        <w:t>tájékoztatást/intézkedést;</w:t>
      </w:r>
    </w:p>
    <w:p w14:paraId="10C91BF7" w14:textId="77777777" w:rsidR="00DA5AF1" w:rsidRPr="00AE55A8" w:rsidRDefault="00DA5AF1" w:rsidP="00894D79">
      <w:pPr>
        <w:ind w:left="1418"/>
        <w:jc w:val="both"/>
      </w:pPr>
      <w:r w:rsidRPr="00AE55A8">
        <w:t>b. a kérelem egyértelműen megalapozatlan;</w:t>
      </w:r>
    </w:p>
    <w:p w14:paraId="0E428370" w14:textId="0BDD7E6C" w:rsidR="00DA5AF1" w:rsidRPr="00AE55A8" w:rsidRDefault="00DA5AF1" w:rsidP="00894D79">
      <w:pPr>
        <w:ind w:left="1418"/>
        <w:jc w:val="both"/>
      </w:pPr>
      <w:r w:rsidRPr="00AE55A8">
        <w:t>c. a kérelem túlzó.</w:t>
      </w:r>
    </w:p>
    <w:p w14:paraId="4B47B513" w14:textId="77777777" w:rsidR="00894D79" w:rsidRPr="00AE55A8" w:rsidRDefault="00894D79" w:rsidP="00894D79">
      <w:pPr>
        <w:ind w:left="1418"/>
        <w:jc w:val="both"/>
      </w:pPr>
    </w:p>
    <w:p w14:paraId="28B915B6" w14:textId="77777777" w:rsidR="00DA5AF1" w:rsidRPr="00AE55A8" w:rsidRDefault="00DA5AF1" w:rsidP="00910BDF">
      <w:pPr>
        <w:jc w:val="both"/>
      </w:pPr>
      <w:r w:rsidRPr="00AE55A8">
        <w:t>(4) A (3) pont szerinti esetekben Adatkezelő jogosult:</w:t>
      </w:r>
    </w:p>
    <w:p w14:paraId="5F82BF88" w14:textId="77777777" w:rsidR="00DA5AF1" w:rsidRPr="00AE55A8" w:rsidRDefault="00DA5AF1" w:rsidP="00894D79">
      <w:pPr>
        <w:ind w:left="1418"/>
        <w:jc w:val="both"/>
      </w:pPr>
      <w:r w:rsidRPr="00AE55A8">
        <w:t>a. a kérelmet megtagadni;</w:t>
      </w:r>
    </w:p>
    <w:p w14:paraId="35FAAB22" w14:textId="3A35ED10" w:rsidR="00DA5AF1" w:rsidRPr="00AE55A8" w:rsidRDefault="00DA5AF1" w:rsidP="00894D79">
      <w:pPr>
        <w:ind w:left="1418"/>
        <w:jc w:val="both"/>
      </w:pPr>
      <w:r w:rsidRPr="00AE55A8">
        <w:t>b. a kérelem teljesítését az azzal összefüggő, ésszerű díj megfizetéséhez kötni.</w:t>
      </w:r>
    </w:p>
    <w:p w14:paraId="41D44702" w14:textId="77777777" w:rsidR="00894D79" w:rsidRPr="00AE55A8" w:rsidRDefault="00894D79" w:rsidP="00894D79">
      <w:pPr>
        <w:ind w:left="1418"/>
        <w:jc w:val="both"/>
      </w:pPr>
    </w:p>
    <w:p w14:paraId="21BF7489" w14:textId="5EFA48D1" w:rsidR="00DA5AF1" w:rsidRPr="00AE55A8" w:rsidRDefault="00DA5AF1" w:rsidP="00910BDF">
      <w:pPr>
        <w:jc w:val="both"/>
      </w:pPr>
      <w:r w:rsidRPr="00AE55A8">
        <w:lastRenderedPageBreak/>
        <w:t>(</w:t>
      </w:r>
      <w:r w:rsidR="00F92FC5" w:rsidRPr="00AE55A8">
        <w:t>5</w:t>
      </w:r>
      <w:r w:rsidRPr="00AE55A8">
        <w:t>) Adatkezelő az általa kivitelezett helyesbítésről, tö</w:t>
      </w:r>
      <w:r w:rsidR="00BE05D7" w:rsidRPr="00AE55A8">
        <w:t xml:space="preserve">rlésről, korlátozásról értesíti </w:t>
      </w:r>
      <w:r w:rsidRPr="00AE55A8">
        <w:t xml:space="preserve">mindazon személyeket, akikkel az érintett adatokat </w:t>
      </w:r>
      <w:r w:rsidR="00BE05D7" w:rsidRPr="00AE55A8">
        <w:t xml:space="preserve">korábban közölték, kivéve, ha a tájékoztatás lehetetlen, </w:t>
      </w:r>
      <w:r w:rsidRPr="00AE55A8">
        <w:t>vagy aránytalanul nagy erőfeszítést igényel.</w:t>
      </w:r>
    </w:p>
    <w:p w14:paraId="48E66DC8" w14:textId="42C86D2A" w:rsidR="00DA5AF1" w:rsidRPr="00AE55A8" w:rsidRDefault="00DA5AF1" w:rsidP="00910BDF">
      <w:pPr>
        <w:jc w:val="both"/>
      </w:pPr>
      <w:r w:rsidRPr="00AE55A8">
        <w:t>(</w:t>
      </w:r>
      <w:r w:rsidR="00F92FC5" w:rsidRPr="00AE55A8">
        <w:t>6</w:t>
      </w:r>
      <w:r w:rsidRPr="00AE55A8">
        <w:t>) Amennyiben az érintett kéri, Adatkezelő táj</w:t>
      </w:r>
      <w:r w:rsidR="00BE05D7" w:rsidRPr="00AE55A8">
        <w:t xml:space="preserve">ékoztatást ad, hogy adatai mely </w:t>
      </w:r>
      <w:r w:rsidRPr="00AE55A8">
        <w:t>személyek felé került továbbításra.</w:t>
      </w:r>
    </w:p>
    <w:p w14:paraId="4B0E6C78" w14:textId="1E10CC09" w:rsidR="00DA5AF1" w:rsidRPr="00AE55A8" w:rsidRDefault="00DA5AF1" w:rsidP="00910BDF">
      <w:pPr>
        <w:jc w:val="both"/>
      </w:pPr>
      <w:r w:rsidRPr="00AE55A8">
        <w:t>(</w:t>
      </w:r>
      <w:r w:rsidR="00F92FC5" w:rsidRPr="00AE55A8">
        <w:t>7</w:t>
      </w:r>
      <w:r w:rsidRPr="00AE55A8">
        <w:t>) Adatkezelő a kérelemre adandó válaszát elektroni</w:t>
      </w:r>
      <w:r w:rsidR="00BE05D7" w:rsidRPr="00AE55A8">
        <w:t xml:space="preserve">kus formában teszi meg, kivéve, </w:t>
      </w:r>
      <w:r w:rsidRPr="00AE55A8">
        <w:t>ha:</w:t>
      </w:r>
    </w:p>
    <w:p w14:paraId="03641722" w14:textId="77777777" w:rsidR="00DA5AF1" w:rsidRPr="00AE55A8" w:rsidRDefault="00DA5AF1" w:rsidP="00894D79">
      <w:pPr>
        <w:ind w:left="1418"/>
        <w:jc w:val="both"/>
      </w:pPr>
      <w:r w:rsidRPr="00AE55A8">
        <w:t>a. az érintett kifejezetten eltérő módon</w:t>
      </w:r>
      <w:r w:rsidR="00BE05D7" w:rsidRPr="00AE55A8">
        <w:t xml:space="preserve"> kéri a választ, és az nem okoz </w:t>
      </w:r>
      <w:r w:rsidRPr="00AE55A8">
        <w:t>indokolatlanul magas többletkiadást az Adatkezelőnek;</w:t>
      </w:r>
    </w:p>
    <w:p w14:paraId="31D8172B" w14:textId="77777777" w:rsidR="00BE05D7" w:rsidRPr="00AE55A8" w:rsidRDefault="00DA5AF1" w:rsidP="00894D79">
      <w:pPr>
        <w:ind w:left="1418"/>
        <w:jc w:val="both"/>
      </w:pPr>
      <w:r w:rsidRPr="00AE55A8">
        <w:t>b. az Adatkezelő nem ismeri az érintett elektronikus elérhetőségét.</w:t>
      </w:r>
    </w:p>
    <w:p w14:paraId="10E3ED77" w14:textId="77777777" w:rsidR="009C354B" w:rsidRPr="00AE55A8" w:rsidRDefault="009C354B" w:rsidP="001D16DC">
      <w:pPr>
        <w:jc w:val="both"/>
      </w:pPr>
    </w:p>
    <w:p w14:paraId="49FD9FB7" w14:textId="3E22332B" w:rsidR="00DA5AF1" w:rsidRPr="00910BDF" w:rsidRDefault="00BE05D7" w:rsidP="00A72883">
      <w:pPr>
        <w:pStyle w:val="Cmsor1"/>
        <w:numPr>
          <w:ilvl w:val="0"/>
          <w:numId w:val="7"/>
        </w:numPr>
        <w:ind w:left="567"/>
        <w:jc w:val="center"/>
        <w:rPr>
          <w:rFonts w:ascii="Times New Roman" w:hAnsi="Times New Roman" w:cs="Times New Roman"/>
        </w:rPr>
      </w:pPr>
      <w:bookmarkStart w:id="9" w:name="_Toc43975970"/>
      <w:r w:rsidRPr="00910BDF">
        <w:rPr>
          <w:rFonts w:ascii="Times New Roman" w:hAnsi="Times New Roman" w:cs="Times New Roman"/>
        </w:rPr>
        <w:t>Kártérítés</w:t>
      </w:r>
      <w:bookmarkEnd w:id="9"/>
    </w:p>
    <w:p w14:paraId="3B75319A" w14:textId="77777777" w:rsidR="00894D79" w:rsidRPr="00AE55A8" w:rsidRDefault="00894D79" w:rsidP="00894D79"/>
    <w:p w14:paraId="21E51A2E" w14:textId="77777777" w:rsidR="00DA5AF1" w:rsidRPr="00AE55A8" w:rsidRDefault="00DA5AF1" w:rsidP="00910BDF">
      <w:pPr>
        <w:jc w:val="both"/>
      </w:pPr>
      <w:r w:rsidRPr="00AE55A8">
        <w:t>(1) Amennyiben bármely érintett az adatv</w:t>
      </w:r>
      <w:r w:rsidR="00BE05D7" w:rsidRPr="00AE55A8">
        <w:t xml:space="preserve">édelemre vonatkozó jogszabályok </w:t>
      </w:r>
      <w:r w:rsidRPr="00AE55A8">
        <w:t>megsértésének eredményeként vagyoni vagy nem vagyoni kárt szenved, ú</w:t>
      </w:r>
      <w:r w:rsidR="00BE05D7" w:rsidRPr="00DC02DF">
        <w:t xml:space="preserve">gy jogosult </w:t>
      </w:r>
      <w:r w:rsidRPr="00DC02DF">
        <w:t>az Adatkezelőtől és/vagy az adatfeldolgozótól kárté</w:t>
      </w:r>
      <w:r w:rsidR="00BE05D7" w:rsidRPr="00AE55A8">
        <w:t xml:space="preserve">rítést követelni. Amennyiben az </w:t>
      </w:r>
      <w:r w:rsidRPr="00AE55A8">
        <w:t>Adatkezelő és adatfeldolgozó(k) is érintettek a</w:t>
      </w:r>
      <w:r w:rsidR="00BE05D7" w:rsidRPr="00AE55A8">
        <w:t xml:space="preserve"> jogsértés elkövetésével, úgy a </w:t>
      </w:r>
      <w:r w:rsidRPr="00AE55A8">
        <w:t>bekövetkezett kárért egyetemlegesen felelnek.</w:t>
      </w:r>
    </w:p>
    <w:p w14:paraId="6D2A235C" w14:textId="77777777" w:rsidR="00DA5AF1" w:rsidRPr="00AE55A8" w:rsidRDefault="00DA5AF1" w:rsidP="00910BDF">
      <w:pPr>
        <w:jc w:val="both"/>
      </w:pPr>
      <w:r w:rsidRPr="00AE55A8">
        <w:t>(2) Az adatfeldolgozó kizárólag abban az esetben</w:t>
      </w:r>
      <w:r w:rsidR="00BE05D7" w:rsidRPr="00AE55A8">
        <w:t xml:space="preserve"> felel a felmerült károkért, ha </w:t>
      </w:r>
      <w:r w:rsidRPr="00AE55A8">
        <w:t>megsértette a vonatkozó adatvédelmi jogszabályok ki</w:t>
      </w:r>
      <w:r w:rsidR="00BE05D7" w:rsidRPr="00AE55A8">
        <w:t xml:space="preserve">fejezetten az adatfeldolgozókra </w:t>
      </w:r>
      <w:r w:rsidRPr="00AE55A8">
        <w:t>megfogalmazott előírásait, illetve, ha a kár az Ada</w:t>
      </w:r>
      <w:r w:rsidR="00BE05D7" w:rsidRPr="00AE55A8">
        <w:t xml:space="preserve">tkezelő utasításainak figyelmen </w:t>
      </w:r>
      <w:r w:rsidRPr="00AE55A8">
        <w:t>kívül hagyása miatt állt be.</w:t>
      </w:r>
    </w:p>
    <w:p w14:paraId="049B79A9" w14:textId="77777777" w:rsidR="00DA5AF1" w:rsidRPr="00AE55A8" w:rsidRDefault="00DA5AF1" w:rsidP="00910BDF">
      <w:pPr>
        <w:jc w:val="both"/>
      </w:pPr>
      <w:r w:rsidRPr="00AE55A8">
        <w:t xml:space="preserve">(3) Az Adatkezelő, illetve az esetleges adatfeldolgozók </w:t>
      </w:r>
      <w:r w:rsidR="00BE05D7" w:rsidRPr="00AE55A8">
        <w:t xml:space="preserve">csak abban az esetben felelnek, </w:t>
      </w:r>
      <w:r w:rsidRPr="00AE55A8">
        <w:t>ha nem tudják bizonyítani, hogy a kárt előidé</w:t>
      </w:r>
      <w:r w:rsidR="00BE05D7" w:rsidRPr="00AE55A8">
        <w:t>ző eseményért, körülményért nem felelősek.</w:t>
      </w:r>
    </w:p>
    <w:p w14:paraId="5B96F7F9" w14:textId="77777777" w:rsidR="00BE05D7" w:rsidRPr="00AE55A8" w:rsidRDefault="00BE05D7" w:rsidP="001D16DC">
      <w:pPr>
        <w:jc w:val="both"/>
      </w:pPr>
    </w:p>
    <w:p w14:paraId="49B3F269" w14:textId="10EDCC62" w:rsidR="00DA5AF1" w:rsidRPr="00910BDF" w:rsidRDefault="00A72883" w:rsidP="00894D79">
      <w:pPr>
        <w:pStyle w:val="Cmsor1"/>
        <w:jc w:val="center"/>
        <w:rPr>
          <w:rFonts w:ascii="Times New Roman" w:hAnsi="Times New Roman" w:cs="Times New Roman"/>
        </w:rPr>
      </w:pPr>
      <w:bookmarkStart w:id="10" w:name="_Toc43975971"/>
      <w:r>
        <w:rPr>
          <w:rFonts w:ascii="Times New Roman" w:hAnsi="Times New Roman" w:cs="Times New Roman"/>
        </w:rPr>
        <w:t>11</w:t>
      </w:r>
      <w:r w:rsidR="00BE05D7" w:rsidRPr="00910BDF">
        <w:rPr>
          <w:rFonts w:ascii="Times New Roman" w:hAnsi="Times New Roman" w:cs="Times New Roman"/>
        </w:rPr>
        <w:t>. Jogorvoslat</w:t>
      </w:r>
      <w:bookmarkEnd w:id="10"/>
    </w:p>
    <w:p w14:paraId="6B0AF5AC" w14:textId="77777777" w:rsidR="00894D79" w:rsidRPr="00AE55A8" w:rsidRDefault="00894D79" w:rsidP="00894D79"/>
    <w:p w14:paraId="49D1F081" w14:textId="26C0EAC0" w:rsidR="00E326DC" w:rsidRPr="00AE55A8" w:rsidRDefault="00DA5AF1" w:rsidP="00910BDF">
      <w:pPr>
        <w:jc w:val="both"/>
      </w:pPr>
      <w:r w:rsidRPr="00AE55A8">
        <w:t>(1) Amennyiben kifogása, problémája van az Adatkezelő adatkeze</w:t>
      </w:r>
      <w:r w:rsidR="001D16DC" w:rsidRPr="00AE55A8">
        <w:t xml:space="preserve">lésével kapcsolatosan, </w:t>
      </w:r>
      <w:r w:rsidRPr="00AE55A8">
        <w:t>kérjük forduljon bizalommal az Adatkezelő ad</w:t>
      </w:r>
      <w:r w:rsidR="00BE05D7" w:rsidRPr="00DC02DF">
        <w:t>atvédelmi tisztviselőjéhez,</w:t>
      </w:r>
      <w:r w:rsidR="00E326DC" w:rsidRPr="00DC02DF">
        <w:t xml:space="preserve"> </w:t>
      </w:r>
      <w:r w:rsidR="00E326DC" w:rsidRPr="00910BDF">
        <w:rPr>
          <w:b/>
        </w:rPr>
        <w:t>Dap Sec Kft.</w:t>
      </w:r>
      <w:r w:rsidR="00BE05D7" w:rsidRPr="00AE55A8">
        <w:t xml:space="preserve"> </w:t>
      </w:r>
      <w:r w:rsidRPr="00AE55A8">
        <w:t>(elérhetőség: 06205574</w:t>
      </w:r>
      <w:r w:rsidR="00BE05D7" w:rsidRPr="00AE55A8">
        <w:t xml:space="preserve">860; </w:t>
      </w:r>
      <w:r w:rsidR="00E326DC" w:rsidRPr="00910BDF">
        <w:t>info@dapsec.hu)</w:t>
      </w:r>
    </w:p>
    <w:p w14:paraId="76331469" w14:textId="77777777" w:rsidR="00DA5AF1" w:rsidRPr="00AE55A8" w:rsidRDefault="00DA5AF1" w:rsidP="00910BDF">
      <w:pPr>
        <w:jc w:val="both"/>
      </w:pPr>
      <w:r w:rsidRPr="00AE55A8">
        <w:t>(2) Amennyiben az érintett álláspontja szerint jogait az Adatkezelő és/va</w:t>
      </w:r>
      <w:r w:rsidR="00BE05D7" w:rsidRPr="00AE55A8">
        <w:t xml:space="preserve">gy az </w:t>
      </w:r>
      <w:r w:rsidRPr="00AE55A8">
        <w:t>adatfeldolgozók megsértették, jogosult a Pp. szerint</w:t>
      </w:r>
      <w:r w:rsidR="00BE05D7" w:rsidRPr="00AE55A8">
        <w:t xml:space="preserve"> illetékességgel és hatáskörrel </w:t>
      </w:r>
      <w:r w:rsidRPr="00AE55A8">
        <w:t>re</w:t>
      </w:r>
      <w:r w:rsidR="00BE05D7" w:rsidRPr="00AE55A8">
        <w:t xml:space="preserve">ndelkező bírósághoz fordulni. A </w:t>
      </w:r>
      <w:r w:rsidRPr="00AE55A8">
        <w:t>bíróság az ügyben soron kívül jár el.</w:t>
      </w:r>
    </w:p>
    <w:p w14:paraId="20A2E992" w14:textId="77777777" w:rsidR="00DA5AF1" w:rsidRPr="00AE55A8" w:rsidRDefault="00DA5AF1" w:rsidP="00910BDF">
      <w:pPr>
        <w:jc w:val="both"/>
      </w:pPr>
      <w:r w:rsidRPr="00AE55A8">
        <w:t>(3) Ha az érintett az adatkezeléssel kapcsolatosan pan</w:t>
      </w:r>
      <w:r w:rsidR="00BE05D7" w:rsidRPr="00AE55A8">
        <w:t xml:space="preserve">aszt kíván tenni, azt a Nemzeti </w:t>
      </w:r>
      <w:r w:rsidRPr="00AE55A8">
        <w:t>Adatvédelmi és Információszabadság Ható</w:t>
      </w:r>
      <w:r w:rsidR="00BE05D7" w:rsidRPr="00AE55A8">
        <w:t xml:space="preserve">ságánál teheti meg, a következő </w:t>
      </w:r>
      <w:r w:rsidRPr="00AE55A8">
        <w:t>elérhetőségeken: székhely: 1125 Budapest, Szilágyi E</w:t>
      </w:r>
      <w:r w:rsidR="00BE05D7" w:rsidRPr="00AE55A8">
        <w:t xml:space="preserve">rzsébet fasor 22/C.; levelezési </w:t>
      </w:r>
      <w:r w:rsidRPr="00AE55A8">
        <w:t xml:space="preserve">cím: 1530 Budapest, Pf.: 5. Telefon: 06-1/391-1400; </w:t>
      </w:r>
      <w:r w:rsidR="00BE05D7" w:rsidRPr="00AE55A8">
        <w:t xml:space="preserve">fax: 06-1/391-1410; e.mail cím: </w:t>
      </w:r>
      <w:r w:rsidRPr="00AE55A8">
        <w:t>ugyfelszolgalat@naih.hu; honlap: www.naih.hu.</w:t>
      </w:r>
    </w:p>
    <w:p w14:paraId="24E74F65" w14:textId="77777777" w:rsidR="00DA5AF1" w:rsidRPr="00AE55A8" w:rsidRDefault="00DA5AF1" w:rsidP="001D16DC">
      <w:pPr>
        <w:jc w:val="both"/>
      </w:pPr>
    </w:p>
    <w:p w14:paraId="4AA3F196" w14:textId="2CBA39E0" w:rsidR="00BE05D7" w:rsidRPr="00910BDF" w:rsidRDefault="00A72883" w:rsidP="00A72883">
      <w:pPr>
        <w:pStyle w:val="Cmsor1"/>
        <w:numPr>
          <w:ilvl w:val="0"/>
          <w:numId w:val="2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1" w:name="_Toc43975972"/>
      <w:r w:rsidR="00BE05D7" w:rsidRPr="00910BDF">
        <w:rPr>
          <w:rFonts w:ascii="Times New Roman" w:hAnsi="Times New Roman" w:cs="Times New Roman"/>
        </w:rPr>
        <w:t>Hatósági együttműködés</w:t>
      </w:r>
      <w:bookmarkEnd w:id="11"/>
    </w:p>
    <w:p w14:paraId="238A65D0" w14:textId="77777777" w:rsidR="00894D79" w:rsidRPr="00AE55A8" w:rsidRDefault="00894D79" w:rsidP="00894D79"/>
    <w:p w14:paraId="0E77F664" w14:textId="77777777" w:rsidR="00DA5AF1" w:rsidRPr="00DC02DF" w:rsidRDefault="00DA5AF1" w:rsidP="00910BDF">
      <w:pPr>
        <w:jc w:val="both"/>
      </w:pPr>
      <w:r w:rsidRPr="00AE55A8">
        <w:t>(1) Az Adatkezelő, amennyiben hivatalos megkeresést kap</w:t>
      </w:r>
      <w:r w:rsidR="001D16DC" w:rsidRPr="00AE55A8">
        <w:t xml:space="preserve"> az arra jogosult hatóságoktól, </w:t>
      </w:r>
      <w:r w:rsidRPr="00AE55A8">
        <w:t>úgy kötelező jelleggel átadja a meghatározott személyes adatokat.</w:t>
      </w:r>
    </w:p>
    <w:p w14:paraId="2B340736" w14:textId="77777777" w:rsidR="00DA5AF1" w:rsidRPr="00AE55A8" w:rsidRDefault="00DA5AF1" w:rsidP="00910BDF">
      <w:pPr>
        <w:jc w:val="both"/>
      </w:pPr>
      <w:r w:rsidRPr="00920BD4">
        <w:t>(2) Az Adatkezelő kizárólag olyan adatokat ad át az (1) p</w:t>
      </w:r>
      <w:r w:rsidR="001D16DC" w:rsidRPr="00AE55A8">
        <w:t xml:space="preserve">ont szerinti esetekben, amelyek </w:t>
      </w:r>
      <w:r w:rsidRPr="00AE55A8">
        <w:t>feltétlenül szükségesek a megkereső hatóság által megjelölt cél eléréséhez.</w:t>
      </w:r>
    </w:p>
    <w:p w14:paraId="060574E4" w14:textId="41312467" w:rsidR="001D16DC" w:rsidRDefault="001D16DC" w:rsidP="001D16DC">
      <w:pPr>
        <w:jc w:val="both"/>
      </w:pPr>
    </w:p>
    <w:p w14:paraId="154E52EB" w14:textId="78CFD07E" w:rsidR="00A72883" w:rsidRDefault="00A72883" w:rsidP="001D16DC">
      <w:pPr>
        <w:jc w:val="both"/>
      </w:pPr>
    </w:p>
    <w:p w14:paraId="565FD41D" w14:textId="0BB5B170" w:rsidR="00A72883" w:rsidRPr="00AE55A8" w:rsidRDefault="00A72883" w:rsidP="001D16DC">
      <w:pPr>
        <w:jc w:val="both"/>
      </w:pPr>
    </w:p>
    <w:p w14:paraId="1A62133E" w14:textId="5B1111CC" w:rsidR="001D16DC" w:rsidRDefault="001D16DC" w:rsidP="001D16DC">
      <w:pPr>
        <w:jc w:val="both"/>
      </w:pPr>
      <w:r w:rsidRPr="00645594">
        <w:t>Kelt.:</w:t>
      </w:r>
      <w:r w:rsidRPr="00AE55A8">
        <w:t xml:space="preserve"> </w:t>
      </w:r>
      <w:r w:rsidR="00645594">
        <w:t>Szombathely, 2020. január 6.</w:t>
      </w:r>
    </w:p>
    <w:p w14:paraId="3F3F4305" w14:textId="78FAFFA3" w:rsidR="004D3852" w:rsidRDefault="004D3852" w:rsidP="001D16DC">
      <w:pPr>
        <w:jc w:val="both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991101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4B8D2D" w14:textId="5F70F568" w:rsidR="004D3852" w:rsidRDefault="004D3852">
          <w:pPr>
            <w:pStyle w:val="Tartalomjegyzkcmsora"/>
          </w:pPr>
          <w:r>
            <w:t>Tartalom</w:t>
          </w:r>
        </w:p>
        <w:p w14:paraId="0B837D83" w14:textId="2863ECFA" w:rsidR="004D3852" w:rsidRDefault="004D3852" w:rsidP="004D3852"/>
        <w:p w14:paraId="1C86F01D" w14:textId="77777777" w:rsidR="004D3852" w:rsidRPr="004D3852" w:rsidRDefault="004D3852" w:rsidP="004D3852"/>
        <w:p w14:paraId="645CD364" w14:textId="0A69A702" w:rsidR="004D3852" w:rsidRDefault="004D3852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75961" w:history="1">
            <w:r w:rsidRPr="00BA395B">
              <w:rPr>
                <w:rStyle w:val="Hiperhivatkozs"/>
                <w:rFonts w:eastAsiaTheme="majorEastAsia"/>
                <w:noProof/>
              </w:rPr>
              <w:t>1.</w:t>
            </w:r>
            <w:r>
              <w:rPr>
                <w:noProof/>
              </w:rPr>
              <w:tab/>
            </w:r>
            <w:r w:rsidRPr="00BA395B">
              <w:rPr>
                <w:rStyle w:val="Hiperhivatkozs"/>
                <w:rFonts w:eastAsiaTheme="majorEastAsia"/>
                <w:noProof/>
              </w:rPr>
              <w:t>A Szabályzat célja és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68C87" w14:textId="35632A6D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2" w:history="1">
            <w:r w:rsidR="004D3852" w:rsidRPr="00BA395B">
              <w:rPr>
                <w:rStyle w:val="Hiperhivatkozs"/>
                <w:rFonts w:eastAsiaTheme="majorEastAsia"/>
                <w:noProof/>
              </w:rPr>
              <w:t>2.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Irányadó jogszabályok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_Toc43975962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2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59E9F1C8" w14:textId="3EC3BC0D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3" w:history="1">
            <w:r w:rsidR="004D3852" w:rsidRPr="00BA395B">
              <w:rPr>
                <w:rStyle w:val="Hiperhivatkozs"/>
                <w:rFonts w:eastAsiaTheme="majorEastAsia"/>
                <w:noProof/>
              </w:rPr>
              <w:t>3.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Az Adatkezelő adatai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_Toc43975963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2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7EED5E38" w14:textId="3047D259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4" w:history="1">
            <w:r w:rsidR="004D3852" w:rsidRPr="00BA395B">
              <w:rPr>
                <w:rStyle w:val="Hiperhivatkozs"/>
                <w:rFonts w:eastAsiaTheme="majorEastAsia"/>
                <w:noProof/>
              </w:rPr>
              <w:t>4.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Kamerák üzemeltetése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_Toc43975964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2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73447F01" w14:textId="6F3C68A9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5" w:history="1">
            <w:r w:rsidR="004D3852" w:rsidRPr="00BA395B">
              <w:rPr>
                <w:rStyle w:val="Hiperhivatkozs"/>
                <w:rFonts w:eastAsiaTheme="majorEastAsia"/>
                <w:noProof/>
              </w:rPr>
              <w:t>5.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A kezelt személyes adatok köre, az adatkezelés célja, időtartama és jogcíme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_Toc43975965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3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25C94286" w14:textId="2BF9F7F9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6" w:history="1">
            <w:r w:rsidR="004D3852" w:rsidRPr="00BA395B">
              <w:rPr>
                <w:rStyle w:val="Hiperhivatkozs"/>
                <w:rFonts w:eastAsiaTheme="majorEastAsia"/>
                <w:noProof/>
              </w:rPr>
              <w:t>6.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Az érintettek jogai, jogorvoslati lehetőségek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_Toc43975966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3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3509DD95" w14:textId="48CCB60F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7" w:history="1">
            <w:r w:rsidR="004D3852" w:rsidRPr="00BA395B">
              <w:rPr>
                <w:rStyle w:val="Hiperhivatkozs"/>
                <w:rFonts w:eastAsiaTheme="majorEastAsia"/>
                <w:noProof/>
              </w:rPr>
              <w:t>7.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Kapcsolatfelvétel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_Toc43975967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5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56865ADE" w14:textId="42ECDD59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8" w:history="1">
            <w:r w:rsidR="004D3852" w:rsidRPr="00BA395B">
              <w:rPr>
                <w:rStyle w:val="Hiperhivatkozs"/>
                <w:rFonts w:eastAsiaTheme="majorEastAsia"/>
                <w:noProof/>
              </w:rPr>
              <w:t>8.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Az adatok tárolásának módja, biztosítása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_Toc43975968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5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7B58EA42" w14:textId="23E7E986" w:rsidR="004D3852" w:rsidRDefault="00E86FB3">
          <w:pPr>
            <w:pStyle w:val="T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975969" w:history="1">
            <w:r w:rsidR="004D3852" w:rsidRPr="00BA395B">
              <w:rPr>
                <w:rStyle w:val="Hiperhivatkozs"/>
                <w:rFonts w:eastAsiaTheme="majorEastAsia"/>
                <w:noProof/>
              </w:rPr>
              <w:t>9.</w:t>
            </w:r>
            <w:r w:rsidR="004D3852">
              <w:rPr>
                <w:noProof/>
              </w:rPr>
              <w:tab/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Eljárási szabályok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_Toc43975969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6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1D1FF099" w14:textId="12D7A86E" w:rsidR="004D3852" w:rsidRDefault="004D3852">
          <w:pPr>
            <w:pStyle w:val="TJ1"/>
            <w:tabs>
              <w:tab w:val="left" w:pos="660"/>
              <w:tab w:val="right" w:leader="dot" w:pos="9062"/>
            </w:tabs>
            <w:rPr>
              <w:noProof/>
            </w:rPr>
          </w:pPr>
          <w:r w:rsidRPr="004D3852">
            <w:rPr>
              <w:rStyle w:val="Hiperhivatkozs"/>
              <w:rFonts w:eastAsiaTheme="majorEastAsia"/>
              <w:noProof/>
              <w:color w:val="000000" w:themeColor="text1"/>
              <w:u w:val="none"/>
            </w:rPr>
            <w:t xml:space="preserve">10.  </w:t>
          </w:r>
          <w:r w:rsidRPr="004D3852">
            <w:rPr>
              <w:rStyle w:val="Hiperhivatkozs"/>
              <w:rFonts w:eastAsiaTheme="majorEastAsia"/>
              <w:noProof/>
              <w:u w:val="none"/>
            </w:rPr>
            <w:t xml:space="preserve"> </w:t>
          </w:r>
          <w:hyperlink w:anchor="_Toc43975970" w:history="1">
            <w:r w:rsidRPr="00BA395B">
              <w:rPr>
                <w:rStyle w:val="Hiperhivatkozs"/>
                <w:rFonts w:eastAsiaTheme="majorEastAsia"/>
                <w:noProof/>
              </w:rPr>
              <w:t>Kártérítés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FCF66" w14:textId="26067E9A" w:rsidR="004D3852" w:rsidRDefault="00E86FB3" w:rsidP="004D3852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43975971" w:history="1">
            <w:r w:rsidR="004D3852" w:rsidRPr="00BA395B">
              <w:rPr>
                <w:rStyle w:val="Hiperhivatkozs"/>
                <w:rFonts w:eastAsiaTheme="majorEastAsia"/>
                <w:noProof/>
              </w:rPr>
              <w:t xml:space="preserve">11. </w:t>
            </w:r>
            <w:r w:rsidR="004D3852">
              <w:rPr>
                <w:rStyle w:val="Hiperhivatkozs"/>
                <w:rFonts w:eastAsiaTheme="majorEastAsia"/>
                <w:noProof/>
              </w:rPr>
              <w:t xml:space="preserve">  </w:t>
            </w:r>
            <w:r w:rsidR="004D3852" w:rsidRPr="00BA395B">
              <w:rPr>
                <w:rStyle w:val="Hiperhivatkozs"/>
                <w:rFonts w:eastAsiaTheme="majorEastAsia"/>
                <w:noProof/>
              </w:rPr>
              <w:t>Jogorvoslat</w:t>
            </w:r>
            <w:r w:rsidR="004D3852">
              <w:rPr>
                <w:noProof/>
                <w:webHidden/>
              </w:rPr>
              <w:tab/>
            </w:r>
            <w:r w:rsidR="004D3852">
              <w:rPr>
                <w:noProof/>
                <w:webHidden/>
              </w:rPr>
              <w:fldChar w:fldCharType="begin"/>
            </w:r>
            <w:r w:rsidR="004D3852">
              <w:rPr>
                <w:noProof/>
                <w:webHidden/>
              </w:rPr>
              <w:instrText xml:space="preserve"> PAGEREF _Toc43975971 \h </w:instrText>
            </w:r>
            <w:r w:rsidR="004D3852">
              <w:rPr>
                <w:noProof/>
                <w:webHidden/>
              </w:rPr>
            </w:r>
            <w:r w:rsidR="004D3852"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7</w:t>
            </w:r>
            <w:r w:rsidR="004D3852">
              <w:rPr>
                <w:noProof/>
                <w:webHidden/>
              </w:rPr>
              <w:fldChar w:fldCharType="end"/>
            </w:r>
          </w:hyperlink>
        </w:p>
        <w:p w14:paraId="43637B89" w14:textId="6F43B437" w:rsidR="004D3852" w:rsidRDefault="004D3852" w:rsidP="004D3852">
          <w:pPr>
            <w:pStyle w:val="TJ1"/>
            <w:tabs>
              <w:tab w:val="right" w:leader="dot" w:pos="9062"/>
            </w:tabs>
            <w:rPr>
              <w:noProof/>
            </w:rPr>
          </w:pPr>
          <w:r w:rsidRPr="004D3852">
            <w:rPr>
              <w:rStyle w:val="Hiperhivatkozs"/>
              <w:rFonts w:eastAsiaTheme="majorEastAsia"/>
              <w:noProof/>
              <w:color w:val="000000" w:themeColor="text1"/>
              <w:u w:val="none"/>
            </w:rPr>
            <w:t xml:space="preserve">12. </w:t>
          </w:r>
          <w:r>
            <w:rPr>
              <w:rStyle w:val="Hiperhivatkozs"/>
              <w:rFonts w:eastAsiaTheme="majorEastAsia"/>
              <w:noProof/>
              <w:color w:val="000000" w:themeColor="text1"/>
              <w:u w:val="none"/>
            </w:rPr>
            <w:t xml:space="preserve">  </w:t>
          </w:r>
          <w:hyperlink w:anchor="_Toc43975972" w:history="1">
            <w:r w:rsidRPr="00BA395B">
              <w:rPr>
                <w:rStyle w:val="Hiperhivatkozs"/>
                <w:rFonts w:eastAsiaTheme="majorEastAsia"/>
                <w:noProof/>
              </w:rPr>
              <w:t>Hatósági együttműködés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55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3E0D8" w14:textId="3AD774DE" w:rsidR="004D3852" w:rsidRDefault="004D3852">
          <w:r>
            <w:rPr>
              <w:b/>
              <w:bCs/>
            </w:rPr>
            <w:fldChar w:fldCharType="end"/>
          </w:r>
        </w:p>
      </w:sdtContent>
    </w:sdt>
    <w:p w14:paraId="502E14D6" w14:textId="12E24311" w:rsidR="004D3852" w:rsidRDefault="004D3852" w:rsidP="001D16DC">
      <w:pPr>
        <w:jc w:val="both"/>
      </w:pPr>
    </w:p>
    <w:p w14:paraId="7715063A" w14:textId="7C9CD647" w:rsidR="004D3852" w:rsidRPr="00AE55A8" w:rsidRDefault="004D3852" w:rsidP="001D16DC">
      <w:pPr>
        <w:jc w:val="both"/>
      </w:pPr>
    </w:p>
    <w:sectPr w:rsidR="004D3852" w:rsidRPr="00AE55A8" w:rsidSect="00DD1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478B" w14:textId="77777777" w:rsidR="00E86FB3" w:rsidRDefault="00E86FB3" w:rsidP="00DD1041">
      <w:r>
        <w:separator/>
      </w:r>
    </w:p>
  </w:endnote>
  <w:endnote w:type="continuationSeparator" w:id="0">
    <w:p w14:paraId="1F991278" w14:textId="77777777" w:rsidR="00E86FB3" w:rsidRDefault="00E86FB3" w:rsidP="00DD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200A" w14:textId="77777777" w:rsidR="00DD1041" w:rsidRDefault="00DD10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983992"/>
      <w:docPartObj>
        <w:docPartGallery w:val="Page Numbers (Bottom of Page)"/>
        <w:docPartUnique/>
      </w:docPartObj>
    </w:sdtPr>
    <w:sdtEndPr/>
    <w:sdtContent>
      <w:p w14:paraId="5348FFDB" w14:textId="71C8B40E" w:rsidR="00DD1041" w:rsidRDefault="00DD1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95">
          <w:rPr>
            <w:noProof/>
          </w:rPr>
          <w:t>6</w:t>
        </w:r>
        <w:r>
          <w:fldChar w:fldCharType="end"/>
        </w:r>
      </w:p>
    </w:sdtContent>
  </w:sdt>
  <w:p w14:paraId="29EBB954" w14:textId="77777777" w:rsidR="00DD1041" w:rsidRDefault="00DD10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50CF" w14:textId="77777777" w:rsidR="00DD1041" w:rsidRDefault="00DD1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98C8" w14:textId="77777777" w:rsidR="00E86FB3" w:rsidRDefault="00E86FB3" w:rsidP="00DD1041">
      <w:r>
        <w:separator/>
      </w:r>
    </w:p>
  </w:footnote>
  <w:footnote w:type="continuationSeparator" w:id="0">
    <w:p w14:paraId="4305854F" w14:textId="77777777" w:rsidR="00E86FB3" w:rsidRDefault="00E86FB3" w:rsidP="00DD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B313" w14:textId="77777777" w:rsidR="00DD1041" w:rsidRDefault="00DD10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1D3D" w14:textId="77777777" w:rsidR="00DD1041" w:rsidRDefault="00DD10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E42E" w14:textId="77777777" w:rsidR="00DD1041" w:rsidRDefault="00DD10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692"/>
    <w:multiLevelType w:val="hybridMultilevel"/>
    <w:tmpl w:val="9828BA6A"/>
    <w:lvl w:ilvl="0" w:tplc="658073A2">
      <w:start w:val="2"/>
      <w:numFmt w:val="lowerLetter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91426"/>
    <w:multiLevelType w:val="hybridMultilevel"/>
    <w:tmpl w:val="44921CD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716F8"/>
    <w:multiLevelType w:val="hybridMultilevel"/>
    <w:tmpl w:val="7236064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B6F"/>
    <w:multiLevelType w:val="hybridMultilevel"/>
    <w:tmpl w:val="31B08B3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9B72BC3"/>
    <w:multiLevelType w:val="hybridMultilevel"/>
    <w:tmpl w:val="D9A084A6"/>
    <w:lvl w:ilvl="0" w:tplc="FCF637C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2C1"/>
    <w:multiLevelType w:val="hybridMultilevel"/>
    <w:tmpl w:val="A1B6446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A6870"/>
    <w:multiLevelType w:val="hybridMultilevel"/>
    <w:tmpl w:val="CEB8F16E"/>
    <w:lvl w:ilvl="0" w:tplc="8E828DF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C07E37"/>
    <w:multiLevelType w:val="hybridMultilevel"/>
    <w:tmpl w:val="B728150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2D89218B"/>
    <w:multiLevelType w:val="hybridMultilevel"/>
    <w:tmpl w:val="CFE2CDF4"/>
    <w:lvl w:ilvl="0" w:tplc="A39642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9D17D8"/>
    <w:multiLevelType w:val="hybridMultilevel"/>
    <w:tmpl w:val="E904E8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C49AE"/>
    <w:multiLevelType w:val="hybridMultilevel"/>
    <w:tmpl w:val="C486C8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511A"/>
    <w:multiLevelType w:val="hybridMultilevel"/>
    <w:tmpl w:val="7D0CA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499E"/>
    <w:multiLevelType w:val="hybridMultilevel"/>
    <w:tmpl w:val="CA86F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8074F"/>
    <w:multiLevelType w:val="hybridMultilevel"/>
    <w:tmpl w:val="1E865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D26"/>
    <w:multiLevelType w:val="hybridMultilevel"/>
    <w:tmpl w:val="C486C8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1DE3"/>
    <w:multiLevelType w:val="hybridMultilevel"/>
    <w:tmpl w:val="00F07254"/>
    <w:lvl w:ilvl="0" w:tplc="6DE202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1C49A8"/>
    <w:multiLevelType w:val="hybridMultilevel"/>
    <w:tmpl w:val="4B5EDABC"/>
    <w:lvl w:ilvl="0" w:tplc="3208E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3C8C78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A5295"/>
    <w:multiLevelType w:val="hybridMultilevel"/>
    <w:tmpl w:val="E95AD2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5374F8"/>
    <w:multiLevelType w:val="hybridMultilevel"/>
    <w:tmpl w:val="36AE0082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7456541D"/>
    <w:multiLevelType w:val="hybridMultilevel"/>
    <w:tmpl w:val="84868164"/>
    <w:lvl w:ilvl="0" w:tplc="EEBA0D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84343"/>
    <w:multiLevelType w:val="hybridMultilevel"/>
    <w:tmpl w:val="A9FCB5C8"/>
    <w:lvl w:ilvl="0" w:tplc="266A01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20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19"/>
  </w:num>
  <w:num w:numId="18">
    <w:abstractNumId w:val="18"/>
  </w:num>
  <w:num w:numId="19">
    <w:abstractNumId w:val="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DA"/>
    <w:rsid w:val="00027246"/>
    <w:rsid w:val="00047F53"/>
    <w:rsid w:val="00062A4E"/>
    <w:rsid w:val="000A4BC1"/>
    <w:rsid w:val="00125DEC"/>
    <w:rsid w:val="0014727F"/>
    <w:rsid w:val="00163C9D"/>
    <w:rsid w:val="00174628"/>
    <w:rsid w:val="00184DBE"/>
    <w:rsid w:val="001D16DC"/>
    <w:rsid w:val="0020111A"/>
    <w:rsid w:val="0025576D"/>
    <w:rsid w:val="00256325"/>
    <w:rsid w:val="002C5D5F"/>
    <w:rsid w:val="002C6097"/>
    <w:rsid w:val="002C7134"/>
    <w:rsid w:val="002D45CB"/>
    <w:rsid w:val="0030374C"/>
    <w:rsid w:val="00307E22"/>
    <w:rsid w:val="00310808"/>
    <w:rsid w:val="00335A94"/>
    <w:rsid w:val="003527E5"/>
    <w:rsid w:val="0036307E"/>
    <w:rsid w:val="00363AAD"/>
    <w:rsid w:val="00365BB0"/>
    <w:rsid w:val="00400416"/>
    <w:rsid w:val="00404A42"/>
    <w:rsid w:val="00424069"/>
    <w:rsid w:val="00447C29"/>
    <w:rsid w:val="0046013A"/>
    <w:rsid w:val="004A3F98"/>
    <w:rsid w:val="004D2590"/>
    <w:rsid w:val="004D3852"/>
    <w:rsid w:val="00570100"/>
    <w:rsid w:val="005C37C8"/>
    <w:rsid w:val="00642F95"/>
    <w:rsid w:val="00645594"/>
    <w:rsid w:val="0066611B"/>
    <w:rsid w:val="006C3B41"/>
    <w:rsid w:val="006E2761"/>
    <w:rsid w:val="0071718B"/>
    <w:rsid w:val="007455DE"/>
    <w:rsid w:val="00795AD1"/>
    <w:rsid w:val="007D7E82"/>
    <w:rsid w:val="0081386E"/>
    <w:rsid w:val="00843071"/>
    <w:rsid w:val="008567C5"/>
    <w:rsid w:val="00886643"/>
    <w:rsid w:val="00894D79"/>
    <w:rsid w:val="008A6CF5"/>
    <w:rsid w:val="008C35DC"/>
    <w:rsid w:val="00907E30"/>
    <w:rsid w:val="00910BDF"/>
    <w:rsid w:val="00920BD4"/>
    <w:rsid w:val="00981D55"/>
    <w:rsid w:val="00984348"/>
    <w:rsid w:val="009C354B"/>
    <w:rsid w:val="009F6C44"/>
    <w:rsid w:val="00A64DCA"/>
    <w:rsid w:val="00A666CA"/>
    <w:rsid w:val="00A72883"/>
    <w:rsid w:val="00AE55A8"/>
    <w:rsid w:val="00B50857"/>
    <w:rsid w:val="00B80F52"/>
    <w:rsid w:val="00BE05D7"/>
    <w:rsid w:val="00C637AD"/>
    <w:rsid w:val="00C65B10"/>
    <w:rsid w:val="00C712A4"/>
    <w:rsid w:val="00C86FBC"/>
    <w:rsid w:val="00CD123C"/>
    <w:rsid w:val="00CE6DE9"/>
    <w:rsid w:val="00D44C7C"/>
    <w:rsid w:val="00D73AC8"/>
    <w:rsid w:val="00D76E84"/>
    <w:rsid w:val="00DA5AF1"/>
    <w:rsid w:val="00DC02DF"/>
    <w:rsid w:val="00DC232E"/>
    <w:rsid w:val="00DD1041"/>
    <w:rsid w:val="00E325F2"/>
    <w:rsid w:val="00E326DC"/>
    <w:rsid w:val="00E56164"/>
    <w:rsid w:val="00E741D4"/>
    <w:rsid w:val="00E86FB3"/>
    <w:rsid w:val="00EA5398"/>
    <w:rsid w:val="00EB5889"/>
    <w:rsid w:val="00F16622"/>
    <w:rsid w:val="00F168F4"/>
    <w:rsid w:val="00F2623E"/>
    <w:rsid w:val="00F6740B"/>
    <w:rsid w:val="00F92FC5"/>
    <w:rsid w:val="00FA1884"/>
    <w:rsid w:val="00FC3D8D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7B8A"/>
  <w15:chartTrackingRefBased/>
  <w15:docId w15:val="{01EF3B8C-8757-47D5-BD12-C84D7C6B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73A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1D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D16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16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16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16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16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6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6D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D16D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73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363AA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E326D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26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B50857"/>
  </w:style>
  <w:style w:type="paragraph" w:styleId="Tartalomjegyzkcmsora">
    <w:name w:val="TOC Heading"/>
    <w:basedOn w:val="Cmsor1"/>
    <w:next w:val="Norml"/>
    <w:uiPriority w:val="39"/>
    <w:unhideWhenUsed/>
    <w:qFormat/>
    <w:rsid w:val="004D3852"/>
    <w:pPr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D3852"/>
    <w:pPr>
      <w:spacing w:after="100"/>
    </w:pPr>
  </w:style>
  <w:style w:type="paragraph" w:styleId="lfej">
    <w:name w:val="header"/>
    <w:basedOn w:val="Norml"/>
    <w:link w:val="lfejChar"/>
    <w:uiPriority w:val="99"/>
    <w:unhideWhenUsed/>
    <w:rsid w:val="00DD10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0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0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04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64A1-D4C8-467D-9335-4E456743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2142</Words>
  <Characters>14782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</cp:lastModifiedBy>
  <cp:revision>3</cp:revision>
  <dcterms:created xsi:type="dcterms:W3CDTF">2020-07-17T08:56:00Z</dcterms:created>
  <dcterms:modified xsi:type="dcterms:W3CDTF">2020-07-17T09:02:00Z</dcterms:modified>
</cp:coreProperties>
</file>