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22E5" w14:textId="00C693CD" w:rsidR="00F5383B" w:rsidRPr="00F5383B" w:rsidRDefault="00102755" w:rsidP="00102755">
      <w:pPr>
        <w:spacing w:after="0"/>
        <w:ind w:left="2124" w:firstLine="708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5383B" w:rsidRPr="0047772D">
        <w:rPr>
          <w:rFonts w:ascii="Times New Roman" w:hAnsi="Times New Roman" w:cs="Times New Roman"/>
          <w:b/>
          <w:bCs/>
          <w:sz w:val="28"/>
          <w:szCs w:val="28"/>
        </w:rPr>
        <w:t>Beszámoló a 2019 – 2021. évekre szóló</w:t>
      </w:r>
      <w:r w:rsidR="00FA29C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16-2/2021     </w:t>
      </w:r>
      <w:r w:rsidR="00FA29C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1E04E6B5" w14:textId="39EE165B" w:rsidR="00F5383B" w:rsidRDefault="00102755" w:rsidP="0010275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F5383B" w:rsidRPr="0047772D">
        <w:rPr>
          <w:rFonts w:ascii="Times New Roman" w:hAnsi="Times New Roman" w:cs="Times New Roman"/>
          <w:b/>
          <w:bCs/>
          <w:sz w:val="28"/>
          <w:szCs w:val="28"/>
        </w:rPr>
        <w:t>fenntartói megállapodás kapcsán</w:t>
      </w:r>
    </w:p>
    <w:p w14:paraId="7CA9EA86" w14:textId="631359BB" w:rsidR="00F5383B" w:rsidRPr="00F5383B" w:rsidRDefault="00F5383B" w:rsidP="00F538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37995" w14:textId="77777777" w:rsidR="00F5383B" w:rsidRDefault="00F5383B" w:rsidP="00F53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Savaria Szimfonikus Zenekar és Szombathely Megyei Jogú Város 2018. október 10-én fenntartói megállapodást kötött annak érdekében, hogy a Savaria Szimfonikus Zenekar </w:t>
      </w:r>
      <w:proofErr w:type="spellStart"/>
      <w:r>
        <w:rPr>
          <w:rFonts w:ascii="Times New Roman" w:hAnsi="Times New Roman" w:cs="Times New Roman"/>
          <w:sz w:val="28"/>
          <w:szCs w:val="28"/>
        </w:rPr>
        <w:t>részesülhessen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központi költségvetésből nyújtott támogatásban. A központi támogatás folyósításának elsőszámú feltétele egy hatályos fenntartói megállapodás.</w:t>
      </w:r>
    </w:p>
    <w:p w14:paraId="4A3DE1AA" w14:textId="5C1A53FA" w:rsidR="00F5383B" w:rsidRDefault="00F5383B" w:rsidP="00F53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fenntartói megállapodásban rögzített kritériumrendszer – a Zenekar által vállalt előadóművészeti szolgáltatások és egyéb kötelezettségek - megvalósítását az alábbi adatsorral tudom alátámasztani:</w:t>
      </w:r>
    </w:p>
    <w:tbl>
      <w:tblPr>
        <w:tblStyle w:val="Rcsostblzat"/>
        <w:tblW w:w="0" w:type="auto"/>
        <w:tblInd w:w="698" w:type="dxa"/>
        <w:tblLook w:val="04A0" w:firstRow="1" w:lastRow="0" w:firstColumn="1" w:lastColumn="0" w:noHBand="0" w:noVBand="1"/>
      </w:tblPr>
      <w:tblGrid>
        <w:gridCol w:w="2265"/>
        <w:gridCol w:w="1841"/>
        <w:gridCol w:w="1559"/>
        <w:gridCol w:w="3397"/>
      </w:tblGrid>
      <w:tr w:rsidR="00F5383B" w14:paraId="32EEF2A4" w14:textId="77777777" w:rsidTr="00F5383B">
        <w:tc>
          <w:tcPr>
            <w:tcW w:w="2265" w:type="dxa"/>
          </w:tcPr>
          <w:p w14:paraId="43070BA7" w14:textId="77777777" w:rsidR="00F5383B" w:rsidRDefault="00F5383B" w:rsidP="00F538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14:paraId="0056D7CB" w14:textId="77777777" w:rsidR="00F5383B" w:rsidRPr="000D29D0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14:paraId="1EA13D39" w14:textId="77777777" w:rsidR="00F5383B" w:rsidRPr="000D29D0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9D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397" w:type="dxa"/>
          </w:tcPr>
          <w:p w14:paraId="2AB66935" w14:textId="77777777" w:rsidR="00F5383B" w:rsidRPr="000D29D0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9D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</w:p>
        </w:tc>
      </w:tr>
      <w:tr w:rsidR="00F5383B" w14:paraId="3E208796" w14:textId="77777777" w:rsidTr="00F5383B">
        <w:trPr>
          <w:trHeight w:val="964"/>
        </w:trPr>
        <w:tc>
          <w:tcPr>
            <w:tcW w:w="2265" w:type="dxa"/>
          </w:tcPr>
          <w:p w14:paraId="13DF55FF" w14:textId="77777777" w:rsidR="00F5383B" w:rsidRDefault="00F5383B" w:rsidP="00F538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D58">
              <w:rPr>
                <w:rFonts w:ascii="Times New Roman" w:hAnsi="Times New Roman" w:cs="Times New Roman"/>
                <w:b/>
                <w:sz w:val="20"/>
                <w:szCs w:val="20"/>
              </w:rPr>
              <w:t>hangversenyek</w:t>
            </w:r>
            <w:proofErr w:type="spellEnd"/>
            <w:r w:rsidRPr="006D7D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D58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79F2D7FF" w14:textId="77777777" w:rsidR="00F5383B" w:rsidRPr="006D7D58" w:rsidRDefault="00F5383B" w:rsidP="00F538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előírt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mutatószám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legalább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</w:t>
            </w:r>
          </w:p>
        </w:tc>
        <w:tc>
          <w:tcPr>
            <w:tcW w:w="1841" w:type="dxa"/>
          </w:tcPr>
          <w:p w14:paraId="745552F6" w14:textId="77777777" w:rsidR="00F5383B" w:rsidRPr="00F00DC4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0DC4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1559" w:type="dxa"/>
          </w:tcPr>
          <w:p w14:paraId="085C94FE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5383B">
              <w:rPr>
                <w:rFonts w:ascii="Times New Roman" w:hAnsi="Times New Roman" w:cs="Times New Roman"/>
                <w:bCs/>
              </w:rPr>
              <w:t>128/81</w:t>
            </w:r>
          </w:p>
        </w:tc>
        <w:tc>
          <w:tcPr>
            <w:tcW w:w="3397" w:type="dxa"/>
          </w:tcPr>
          <w:p w14:paraId="62CC7DDB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5383B">
              <w:rPr>
                <w:rFonts w:ascii="Times New Roman" w:hAnsi="Times New Roman" w:cs="Times New Roman"/>
                <w:bCs/>
              </w:rPr>
              <w:t>eddig</w:t>
            </w:r>
            <w:proofErr w:type="spellEnd"/>
            <w:r w:rsidRPr="00F5383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5383B">
              <w:rPr>
                <w:rFonts w:ascii="Times New Roman" w:hAnsi="Times New Roman" w:cs="Times New Roman"/>
                <w:bCs/>
              </w:rPr>
              <w:t>teljesített</w:t>
            </w:r>
            <w:proofErr w:type="spellEnd"/>
            <w:r w:rsidRPr="00F5383B">
              <w:rPr>
                <w:rFonts w:ascii="Times New Roman" w:hAnsi="Times New Roman" w:cs="Times New Roman"/>
                <w:bCs/>
              </w:rPr>
              <w:t xml:space="preserve">   41/22                  </w:t>
            </w:r>
          </w:p>
          <w:p w14:paraId="5A05337E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5383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5383B">
              <w:rPr>
                <w:rFonts w:ascii="Times New Roman" w:hAnsi="Times New Roman" w:cs="Times New Roman"/>
                <w:bCs/>
              </w:rPr>
              <w:t>év</w:t>
            </w:r>
            <w:proofErr w:type="spellEnd"/>
            <w:r w:rsidRPr="00F5383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5383B">
              <w:rPr>
                <w:rFonts w:ascii="Times New Roman" w:hAnsi="Times New Roman" w:cs="Times New Roman"/>
                <w:bCs/>
              </w:rPr>
              <w:t>végéig</w:t>
            </w:r>
            <w:proofErr w:type="spellEnd"/>
            <w:r w:rsidRPr="00F5383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5383B">
              <w:rPr>
                <w:rFonts w:ascii="Times New Roman" w:hAnsi="Times New Roman" w:cs="Times New Roman"/>
                <w:bCs/>
              </w:rPr>
              <w:t>összesen</w:t>
            </w:r>
            <w:proofErr w:type="spellEnd"/>
            <w:r w:rsidRPr="00F5383B">
              <w:rPr>
                <w:rFonts w:ascii="Times New Roman" w:hAnsi="Times New Roman" w:cs="Times New Roman"/>
                <w:bCs/>
              </w:rPr>
              <w:t xml:space="preserve"> 59/28</w:t>
            </w:r>
          </w:p>
          <w:p w14:paraId="1495490F" w14:textId="77777777" w:rsidR="00F5383B" w:rsidRPr="00214B2F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83B" w14:paraId="2C9677F2" w14:textId="77777777" w:rsidTr="00F5383B">
        <w:tc>
          <w:tcPr>
            <w:tcW w:w="2265" w:type="dxa"/>
          </w:tcPr>
          <w:p w14:paraId="00FE55BF" w14:textId="77777777" w:rsidR="00F5383B" w:rsidRPr="006D7D58" w:rsidRDefault="00F5383B" w:rsidP="00F538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D58">
              <w:rPr>
                <w:rFonts w:ascii="Times New Roman" w:hAnsi="Times New Roman" w:cs="Times New Roman"/>
                <w:sz w:val="20"/>
                <w:szCs w:val="20"/>
              </w:rPr>
              <w:t>Szombathely</w:t>
            </w:r>
          </w:p>
        </w:tc>
        <w:tc>
          <w:tcPr>
            <w:tcW w:w="1841" w:type="dxa"/>
          </w:tcPr>
          <w:p w14:paraId="382C221B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83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</w:tcPr>
          <w:p w14:paraId="1025359D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83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397" w:type="dxa"/>
          </w:tcPr>
          <w:p w14:paraId="7E8671C4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83B">
              <w:rPr>
                <w:rFonts w:ascii="Times New Roman" w:hAnsi="Times New Roman" w:cs="Times New Roman"/>
                <w:bCs/>
              </w:rPr>
              <w:t>eddig</w:t>
            </w:r>
            <w:proofErr w:type="spellEnd"/>
            <w:r w:rsidRPr="00F5383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5383B">
              <w:rPr>
                <w:rFonts w:ascii="Times New Roman" w:hAnsi="Times New Roman" w:cs="Times New Roman"/>
                <w:bCs/>
              </w:rPr>
              <w:t>teljesített</w:t>
            </w:r>
            <w:proofErr w:type="spellEnd"/>
            <w:r w:rsidRPr="00F5383B">
              <w:rPr>
                <w:rFonts w:ascii="Times New Roman" w:hAnsi="Times New Roman" w:cs="Times New Roman"/>
                <w:bCs/>
              </w:rPr>
              <w:t xml:space="preserve">     </w:t>
            </w:r>
            <w:r w:rsidRPr="00F5383B">
              <w:rPr>
                <w:rFonts w:ascii="Times New Roman" w:hAnsi="Times New Roman" w:cs="Times New Roman"/>
              </w:rPr>
              <w:t>35</w:t>
            </w:r>
          </w:p>
          <w:p w14:paraId="06C77314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83B">
              <w:rPr>
                <w:rFonts w:ascii="Times New Roman" w:hAnsi="Times New Roman" w:cs="Times New Roman"/>
                <w:bCs/>
              </w:rPr>
              <w:t>év</w:t>
            </w:r>
            <w:proofErr w:type="spellEnd"/>
            <w:r w:rsidRPr="00F5383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5383B">
              <w:rPr>
                <w:rFonts w:ascii="Times New Roman" w:hAnsi="Times New Roman" w:cs="Times New Roman"/>
                <w:bCs/>
              </w:rPr>
              <w:t>végéig</w:t>
            </w:r>
            <w:proofErr w:type="spellEnd"/>
            <w:r w:rsidRPr="00F5383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5383B">
              <w:rPr>
                <w:rFonts w:ascii="Times New Roman" w:hAnsi="Times New Roman" w:cs="Times New Roman"/>
                <w:bCs/>
              </w:rPr>
              <w:t>összesen</w:t>
            </w:r>
            <w:proofErr w:type="spellEnd"/>
            <w:r w:rsidRPr="00F5383B">
              <w:rPr>
                <w:rFonts w:ascii="Times New Roman" w:hAnsi="Times New Roman" w:cs="Times New Roman"/>
                <w:bCs/>
              </w:rPr>
              <w:t xml:space="preserve"> </w:t>
            </w:r>
            <w:r w:rsidRPr="00F5383B">
              <w:rPr>
                <w:rFonts w:ascii="Times New Roman" w:hAnsi="Times New Roman" w:cs="Times New Roman"/>
              </w:rPr>
              <w:t>48</w:t>
            </w:r>
          </w:p>
        </w:tc>
      </w:tr>
      <w:tr w:rsidR="00F5383B" w14:paraId="356195D7" w14:textId="77777777" w:rsidTr="00F5383B">
        <w:tc>
          <w:tcPr>
            <w:tcW w:w="2265" w:type="dxa"/>
          </w:tcPr>
          <w:p w14:paraId="238442CD" w14:textId="77777777" w:rsidR="00F5383B" w:rsidRDefault="00F5383B" w:rsidP="00F538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D58">
              <w:rPr>
                <w:rFonts w:ascii="Times New Roman" w:hAnsi="Times New Roman" w:cs="Times New Roman"/>
                <w:sz w:val="20"/>
                <w:szCs w:val="20"/>
              </w:rPr>
              <w:t>egyéb</w:t>
            </w:r>
            <w:proofErr w:type="spellEnd"/>
            <w:r w:rsidRPr="006D7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D58">
              <w:rPr>
                <w:rFonts w:ascii="Times New Roman" w:hAnsi="Times New Roman" w:cs="Times New Roman"/>
                <w:sz w:val="20"/>
                <w:szCs w:val="20"/>
              </w:rPr>
              <w:t>belföld</w:t>
            </w:r>
            <w:proofErr w:type="spellEnd"/>
          </w:p>
          <w:p w14:paraId="24037BAE" w14:textId="77777777" w:rsidR="00F5383B" w:rsidRPr="006D7D58" w:rsidRDefault="00F5383B" w:rsidP="00F538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előírt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mutatószám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legalább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841" w:type="dxa"/>
          </w:tcPr>
          <w:p w14:paraId="34AC8772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83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14:paraId="59D4F3F5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83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97" w:type="dxa"/>
          </w:tcPr>
          <w:p w14:paraId="599FEC26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5383B">
              <w:rPr>
                <w:rFonts w:ascii="Times New Roman" w:hAnsi="Times New Roman" w:cs="Times New Roman"/>
                <w:bCs/>
              </w:rPr>
              <w:t>eddig</w:t>
            </w:r>
            <w:proofErr w:type="spellEnd"/>
            <w:r w:rsidRPr="00F5383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5383B">
              <w:rPr>
                <w:rFonts w:ascii="Times New Roman" w:hAnsi="Times New Roman" w:cs="Times New Roman"/>
                <w:bCs/>
              </w:rPr>
              <w:t>teljesített</w:t>
            </w:r>
            <w:proofErr w:type="spellEnd"/>
            <w:r w:rsidRPr="00F5383B">
              <w:rPr>
                <w:rFonts w:ascii="Times New Roman" w:hAnsi="Times New Roman" w:cs="Times New Roman"/>
                <w:bCs/>
              </w:rPr>
              <w:t xml:space="preserve">     3</w:t>
            </w:r>
          </w:p>
          <w:p w14:paraId="67334817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83B">
              <w:rPr>
                <w:rFonts w:ascii="Times New Roman" w:hAnsi="Times New Roman" w:cs="Times New Roman"/>
                <w:bCs/>
              </w:rPr>
              <w:t>év</w:t>
            </w:r>
            <w:proofErr w:type="spellEnd"/>
            <w:r w:rsidRPr="00F5383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5383B">
              <w:rPr>
                <w:rFonts w:ascii="Times New Roman" w:hAnsi="Times New Roman" w:cs="Times New Roman"/>
                <w:bCs/>
              </w:rPr>
              <w:t>végéig</w:t>
            </w:r>
            <w:proofErr w:type="spellEnd"/>
            <w:r w:rsidRPr="00F5383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5383B">
              <w:rPr>
                <w:rFonts w:ascii="Times New Roman" w:hAnsi="Times New Roman" w:cs="Times New Roman"/>
                <w:bCs/>
              </w:rPr>
              <w:t>összesen</w:t>
            </w:r>
            <w:proofErr w:type="spellEnd"/>
            <w:r w:rsidRPr="00F5383B">
              <w:rPr>
                <w:rFonts w:ascii="Times New Roman" w:hAnsi="Times New Roman" w:cs="Times New Roman"/>
                <w:bCs/>
              </w:rPr>
              <w:t xml:space="preserve"> 5</w:t>
            </w:r>
          </w:p>
        </w:tc>
      </w:tr>
      <w:tr w:rsidR="00F5383B" w14:paraId="797C98E8" w14:textId="77777777" w:rsidTr="00F5383B">
        <w:tc>
          <w:tcPr>
            <w:tcW w:w="2265" w:type="dxa"/>
          </w:tcPr>
          <w:p w14:paraId="7BBE19C4" w14:textId="77777777" w:rsidR="00F5383B" w:rsidRDefault="00F5383B" w:rsidP="00F5383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7746E">
              <w:rPr>
                <w:rFonts w:ascii="Times New Roman" w:hAnsi="Times New Roman" w:cs="Times New Roman"/>
                <w:i/>
                <w:sz w:val="20"/>
                <w:szCs w:val="20"/>
              </w:rPr>
              <w:t>ifjúsági</w:t>
            </w:r>
            <w:proofErr w:type="spellEnd"/>
            <w:r w:rsidRPr="002774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746E">
              <w:rPr>
                <w:rFonts w:ascii="Times New Roman" w:hAnsi="Times New Roman" w:cs="Times New Roman"/>
                <w:i/>
                <w:sz w:val="20"/>
                <w:szCs w:val="20"/>
              </w:rPr>
              <w:t>előadások</w:t>
            </w:r>
            <w:proofErr w:type="spellEnd"/>
            <w:r w:rsidRPr="002774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746E">
              <w:rPr>
                <w:rFonts w:ascii="Times New Roman" w:hAnsi="Times New Roman" w:cs="Times New Roman"/>
                <w:i/>
                <w:sz w:val="20"/>
                <w:szCs w:val="20"/>
              </w:rPr>
              <w:t>száma</w:t>
            </w:r>
            <w:proofErr w:type="spellEnd"/>
          </w:p>
          <w:p w14:paraId="46EF6B0A" w14:textId="77777777" w:rsidR="00F5383B" w:rsidRDefault="00F5383B" w:rsidP="00F5383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előírt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mutatószám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9EA3BC4" w14:textId="77777777" w:rsidR="00F5383B" w:rsidRPr="0027746E" w:rsidRDefault="00F5383B" w:rsidP="00F5383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évad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koncertjeinek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minimum 15%-a</w:t>
            </w:r>
          </w:p>
        </w:tc>
        <w:tc>
          <w:tcPr>
            <w:tcW w:w="1841" w:type="dxa"/>
          </w:tcPr>
          <w:p w14:paraId="5A03C5F0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5383B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1559" w:type="dxa"/>
          </w:tcPr>
          <w:p w14:paraId="5DCD6C11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5383B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3397" w:type="dxa"/>
          </w:tcPr>
          <w:p w14:paraId="2CB7A6E3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5383B">
              <w:rPr>
                <w:rFonts w:ascii="Times New Roman" w:hAnsi="Times New Roman" w:cs="Times New Roman"/>
                <w:bCs/>
              </w:rPr>
              <w:t>eddig</w:t>
            </w:r>
            <w:proofErr w:type="spellEnd"/>
            <w:r w:rsidRPr="00F5383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5383B">
              <w:rPr>
                <w:rFonts w:ascii="Times New Roman" w:hAnsi="Times New Roman" w:cs="Times New Roman"/>
                <w:bCs/>
              </w:rPr>
              <w:t>teljesített</w:t>
            </w:r>
            <w:proofErr w:type="spellEnd"/>
            <w:r w:rsidRPr="00F5383B">
              <w:rPr>
                <w:rFonts w:ascii="Times New Roman" w:hAnsi="Times New Roman" w:cs="Times New Roman"/>
                <w:bCs/>
              </w:rPr>
              <w:t xml:space="preserve">     </w:t>
            </w:r>
            <w:r w:rsidRPr="00F5383B">
              <w:rPr>
                <w:rFonts w:ascii="Times New Roman" w:hAnsi="Times New Roman" w:cs="Times New Roman"/>
                <w:iCs/>
              </w:rPr>
              <w:t>6</w:t>
            </w:r>
          </w:p>
          <w:p w14:paraId="1C8A1CB9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5383B">
              <w:rPr>
                <w:rFonts w:ascii="Times New Roman" w:hAnsi="Times New Roman" w:cs="Times New Roman"/>
                <w:bCs/>
              </w:rPr>
              <w:t>év</w:t>
            </w:r>
            <w:proofErr w:type="spellEnd"/>
            <w:r w:rsidRPr="00F5383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5383B">
              <w:rPr>
                <w:rFonts w:ascii="Times New Roman" w:hAnsi="Times New Roman" w:cs="Times New Roman"/>
                <w:bCs/>
              </w:rPr>
              <w:t>végéig</w:t>
            </w:r>
            <w:proofErr w:type="spellEnd"/>
            <w:r w:rsidRPr="00F5383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5383B">
              <w:rPr>
                <w:rFonts w:ascii="Times New Roman" w:hAnsi="Times New Roman" w:cs="Times New Roman"/>
                <w:bCs/>
              </w:rPr>
              <w:t>összesen</w:t>
            </w:r>
            <w:proofErr w:type="spellEnd"/>
            <w:r w:rsidRPr="00F5383B">
              <w:rPr>
                <w:rFonts w:ascii="Times New Roman" w:hAnsi="Times New Roman" w:cs="Times New Roman"/>
                <w:bCs/>
              </w:rPr>
              <w:t xml:space="preserve"> 12</w:t>
            </w:r>
          </w:p>
        </w:tc>
      </w:tr>
      <w:tr w:rsidR="00F5383B" w14:paraId="6846EBF0" w14:textId="77777777" w:rsidTr="00F5383B">
        <w:tc>
          <w:tcPr>
            <w:tcW w:w="2265" w:type="dxa"/>
          </w:tcPr>
          <w:p w14:paraId="3C02E2DC" w14:textId="77777777" w:rsidR="00F5383B" w:rsidRPr="006D7D58" w:rsidRDefault="00F5383B" w:rsidP="00F538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D58">
              <w:rPr>
                <w:rFonts w:ascii="Times New Roman" w:hAnsi="Times New Roman" w:cs="Times New Roman"/>
                <w:sz w:val="20"/>
                <w:szCs w:val="20"/>
              </w:rPr>
              <w:t>külföld</w:t>
            </w:r>
            <w:proofErr w:type="spellEnd"/>
          </w:p>
        </w:tc>
        <w:tc>
          <w:tcPr>
            <w:tcW w:w="1841" w:type="dxa"/>
          </w:tcPr>
          <w:p w14:paraId="55C5DF06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8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14:paraId="2309BF80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8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7" w:type="dxa"/>
          </w:tcPr>
          <w:p w14:paraId="48044E91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83B">
              <w:rPr>
                <w:rFonts w:ascii="Times New Roman" w:hAnsi="Times New Roman" w:cs="Times New Roman"/>
              </w:rPr>
              <w:t>4</w:t>
            </w:r>
          </w:p>
        </w:tc>
      </w:tr>
      <w:tr w:rsidR="00F5383B" w14:paraId="31358B18" w14:textId="77777777" w:rsidTr="00F5383B">
        <w:tc>
          <w:tcPr>
            <w:tcW w:w="2265" w:type="dxa"/>
          </w:tcPr>
          <w:p w14:paraId="03D6392C" w14:textId="77777777" w:rsidR="00F5383B" w:rsidRDefault="00F5383B" w:rsidP="00F538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D58">
              <w:rPr>
                <w:rFonts w:ascii="Times New Roman" w:hAnsi="Times New Roman" w:cs="Times New Roman"/>
                <w:b/>
                <w:sz w:val="20"/>
                <w:szCs w:val="20"/>
              </w:rPr>
              <w:t>nézők</w:t>
            </w:r>
            <w:proofErr w:type="spellEnd"/>
            <w:r w:rsidRPr="006D7D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D58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  <w:p w14:paraId="4C5BFE70" w14:textId="77777777" w:rsidR="00F5383B" w:rsidRPr="006D7D58" w:rsidRDefault="00F5383B" w:rsidP="00F538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ebből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fizető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nézők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1" w:type="dxa"/>
          </w:tcPr>
          <w:p w14:paraId="003CE409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83B">
              <w:rPr>
                <w:rFonts w:ascii="Times New Roman" w:hAnsi="Times New Roman" w:cs="Times New Roman"/>
              </w:rPr>
              <w:t>39404</w:t>
            </w:r>
          </w:p>
          <w:p w14:paraId="3B04DC7A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83B">
              <w:rPr>
                <w:rFonts w:ascii="Times New Roman" w:hAnsi="Times New Roman" w:cs="Times New Roman"/>
              </w:rPr>
              <w:t>39104</w:t>
            </w:r>
          </w:p>
        </w:tc>
        <w:tc>
          <w:tcPr>
            <w:tcW w:w="1559" w:type="dxa"/>
          </w:tcPr>
          <w:p w14:paraId="448AF86F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83B">
              <w:rPr>
                <w:rFonts w:ascii="Times New Roman" w:hAnsi="Times New Roman" w:cs="Times New Roman"/>
              </w:rPr>
              <w:t>19398</w:t>
            </w:r>
          </w:p>
          <w:p w14:paraId="22698076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83B">
              <w:rPr>
                <w:rFonts w:ascii="Times New Roman" w:hAnsi="Times New Roman" w:cs="Times New Roman"/>
              </w:rPr>
              <w:t>10078</w:t>
            </w:r>
          </w:p>
        </w:tc>
        <w:tc>
          <w:tcPr>
            <w:tcW w:w="3397" w:type="dxa"/>
          </w:tcPr>
          <w:p w14:paraId="4471E2F1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83B">
              <w:rPr>
                <w:rFonts w:ascii="Times New Roman" w:hAnsi="Times New Roman" w:cs="Times New Roman"/>
                <w:i/>
                <w:iCs/>
              </w:rPr>
              <w:t>október</w:t>
            </w:r>
            <w:proofErr w:type="spellEnd"/>
            <w:r w:rsidRPr="00F5383B">
              <w:rPr>
                <w:rFonts w:ascii="Times New Roman" w:hAnsi="Times New Roman" w:cs="Times New Roman"/>
                <w:i/>
                <w:iCs/>
              </w:rPr>
              <w:t xml:space="preserve"> 15-i </w:t>
            </w:r>
            <w:proofErr w:type="spellStart"/>
            <w:r w:rsidRPr="00F5383B">
              <w:rPr>
                <w:rFonts w:ascii="Times New Roman" w:hAnsi="Times New Roman" w:cs="Times New Roman"/>
                <w:i/>
                <w:iCs/>
              </w:rPr>
              <w:t>állapot</w:t>
            </w:r>
            <w:proofErr w:type="spellEnd"/>
            <w:r w:rsidRPr="00F5383B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F5383B">
              <w:rPr>
                <w:rFonts w:ascii="Times New Roman" w:hAnsi="Times New Roman" w:cs="Times New Roman"/>
              </w:rPr>
              <w:t>7136</w:t>
            </w:r>
          </w:p>
          <w:p w14:paraId="601C1A9B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83B">
              <w:rPr>
                <w:rFonts w:ascii="Times New Roman" w:hAnsi="Times New Roman" w:cs="Times New Roman"/>
              </w:rPr>
              <w:t xml:space="preserve">                                   4164</w:t>
            </w:r>
          </w:p>
        </w:tc>
      </w:tr>
      <w:tr w:rsidR="00F5383B" w14:paraId="26E4B7E7" w14:textId="77777777" w:rsidTr="00F5383B">
        <w:tc>
          <w:tcPr>
            <w:tcW w:w="2265" w:type="dxa"/>
          </w:tcPr>
          <w:p w14:paraId="6E25E8F0" w14:textId="77777777" w:rsidR="00F5383B" w:rsidRPr="006D7D58" w:rsidRDefault="00F5383B" w:rsidP="00F538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belföld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saját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rendezés</w:t>
            </w:r>
            <w:proofErr w:type="spellEnd"/>
          </w:p>
        </w:tc>
        <w:tc>
          <w:tcPr>
            <w:tcW w:w="1841" w:type="dxa"/>
          </w:tcPr>
          <w:p w14:paraId="3F663B7E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83B">
              <w:rPr>
                <w:rFonts w:ascii="Times New Roman" w:hAnsi="Times New Roman" w:cs="Times New Roman"/>
              </w:rPr>
              <w:t>18894</w:t>
            </w:r>
          </w:p>
        </w:tc>
        <w:tc>
          <w:tcPr>
            <w:tcW w:w="1559" w:type="dxa"/>
          </w:tcPr>
          <w:p w14:paraId="500537CD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83B">
              <w:rPr>
                <w:rFonts w:ascii="Times New Roman" w:hAnsi="Times New Roman" w:cs="Times New Roman"/>
              </w:rPr>
              <w:t>13878</w:t>
            </w:r>
          </w:p>
        </w:tc>
        <w:tc>
          <w:tcPr>
            <w:tcW w:w="3397" w:type="dxa"/>
          </w:tcPr>
          <w:p w14:paraId="733A83F1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83B">
              <w:rPr>
                <w:rFonts w:ascii="Times New Roman" w:hAnsi="Times New Roman" w:cs="Times New Roman"/>
                <w:i/>
                <w:iCs/>
              </w:rPr>
              <w:t>október</w:t>
            </w:r>
            <w:proofErr w:type="spellEnd"/>
            <w:r w:rsidRPr="00F5383B">
              <w:rPr>
                <w:rFonts w:ascii="Times New Roman" w:hAnsi="Times New Roman" w:cs="Times New Roman"/>
                <w:i/>
                <w:iCs/>
              </w:rPr>
              <w:t xml:space="preserve"> 15-i </w:t>
            </w:r>
            <w:proofErr w:type="spellStart"/>
            <w:proofErr w:type="gramStart"/>
            <w:r w:rsidRPr="00F5383B">
              <w:rPr>
                <w:rFonts w:ascii="Times New Roman" w:hAnsi="Times New Roman" w:cs="Times New Roman"/>
                <w:i/>
                <w:iCs/>
              </w:rPr>
              <w:t>állapot</w:t>
            </w:r>
            <w:proofErr w:type="spellEnd"/>
            <w:r w:rsidRPr="00F5383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5383B">
              <w:rPr>
                <w:rFonts w:ascii="Times New Roman" w:hAnsi="Times New Roman" w:cs="Times New Roman"/>
              </w:rPr>
              <w:t>7136</w:t>
            </w:r>
            <w:proofErr w:type="gramEnd"/>
          </w:p>
        </w:tc>
      </w:tr>
      <w:tr w:rsidR="00F5383B" w14:paraId="176DB8FE" w14:textId="77777777" w:rsidTr="00F5383B">
        <w:tc>
          <w:tcPr>
            <w:tcW w:w="2265" w:type="dxa"/>
          </w:tcPr>
          <w:p w14:paraId="2F6FDC6E" w14:textId="77777777" w:rsidR="00F5383B" w:rsidRPr="006D7D58" w:rsidRDefault="00F5383B" w:rsidP="00F538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belföld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D7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D58">
              <w:rPr>
                <w:rFonts w:ascii="Times New Roman" w:hAnsi="Times New Roman" w:cs="Times New Roman"/>
                <w:sz w:val="20"/>
                <w:szCs w:val="20"/>
              </w:rPr>
              <w:t>más</w:t>
            </w:r>
            <w:proofErr w:type="spellEnd"/>
            <w:r w:rsidRPr="006D7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D58">
              <w:rPr>
                <w:rFonts w:ascii="Times New Roman" w:hAnsi="Times New Roman" w:cs="Times New Roman"/>
                <w:sz w:val="20"/>
                <w:szCs w:val="20"/>
              </w:rPr>
              <w:t>szervezés</w:t>
            </w:r>
            <w:proofErr w:type="spellEnd"/>
          </w:p>
        </w:tc>
        <w:tc>
          <w:tcPr>
            <w:tcW w:w="1841" w:type="dxa"/>
          </w:tcPr>
          <w:p w14:paraId="716834AF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83B">
              <w:rPr>
                <w:rFonts w:ascii="Times New Roman" w:hAnsi="Times New Roman" w:cs="Times New Roman"/>
              </w:rPr>
              <w:t>12390</w:t>
            </w:r>
          </w:p>
        </w:tc>
        <w:tc>
          <w:tcPr>
            <w:tcW w:w="1559" w:type="dxa"/>
          </w:tcPr>
          <w:p w14:paraId="45BA1DC7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83B">
              <w:rPr>
                <w:rFonts w:ascii="Times New Roman" w:hAnsi="Times New Roman" w:cs="Times New Roman"/>
              </w:rPr>
              <w:t>4530</w:t>
            </w:r>
          </w:p>
        </w:tc>
        <w:tc>
          <w:tcPr>
            <w:tcW w:w="3397" w:type="dxa"/>
          </w:tcPr>
          <w:p w14:paraId="10152D0B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83B">
              <w:rPr>
                <w:rFonts w:ascii="Times New Roman" w:hAnsi="Times New Roman" w:cs="Times New Roman"/>
                <w:i/>
                <w:iCs/>
              </w:rPr>
              <w:t>október</w:t>
            </w:r>
            <w:proofErr w:type="spellEnd"/>
            <w:r w:rsidRPr="00F5383B">
              <w:rPr>
                <w:rFonts w:ascii="Times New Roman" w:hAnsi="Times New Roman" w:cs="Times New Roman"/>
                <w:i/>
                <w:iCs/>
              </w:rPr>
              <w:t xml:space="preserve"> 15-i </w:t>
            </w:r>
            <w:proofErr w:type="spellStart"/>
            <w:r w:rsidRPr="00F5383B">
              <w:rPr>
                <w:rFonts w:ascii="Times New Roman" w:hAnsi="Times New Roman" w:cs="Times New Roman"/>
                <w:i/>
                <w:iCs/>
              </w:rPr>
              <w:t>állapot</w:t>
            </w:r>
            <w:proofErr w:type="spellEnd"/>
            <w:r w:rsidRPr="00F5383B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F5383B">
              <w:rPr>
                <w:rFonts w:ascii="Times New Roman" w:hAnsi="Times New Roman" w:cs="Times New Roman"/>
              </w:rPr>
              <w:t>0</w:t>
            </w:r>
          </w:p>
        </w:tc>
      </w:tr>
      <w:tr w:rsidR="00F5383B" w14:paraId="0F761381" w14:textId="77777777" w:rsidTr="00F5383B">
        <w:tc>
          <w:tcPr>
            <w:tcW w:w="2265" w:type="dxa"/>
          </w:tcPr>
          <w:p w14:paraId="675EB260" w14:textId="77777777" w:rsidR="00F5383B" w:rsidRPr="0027746E" w:rsidRDefault="00F5383B" w:rsidP="00F5383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7746E">
              <w:rPr>
                <w:rFonts w:ascii="Times New Roman" w:hAnsi="Times New Roman" w:cs="Times New Roman"/>
                <w:i/>
                <w:sz w:val="20"/>
                <w:szCs w:val="20"/>
              </w:rPr>
              <w:t>belföldi</w:t>
            </w:r>
            <w:proofErr w:type="spellEnd"/>
            <w:r w:rsidRPr="002774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746E">
              <w:rPr>
                <w:rFonts w:ascii="Times New Roman" w:hAnsi="Times New Roman" w:cs="Times New Roman"/>
                <w:i/>
                <w:sz w:val="20"/>
                <w:szCs w:val="20"/>
              </w:rPr>
              <w:t>előadásokból</w:t>
            </w:r>
            <w:proofErr w:type="spellEnd"/>
          </w:p>
          <w:p w14:paraId="36EDFF5E" w14:textId="77777777" w:rsidR="00F5383B" w:rsidRPr="0027746E" w:rsidRDefault="00F5383B" w:rsidP="00F5383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7746E">
              <w:rPr>
                <w:rFonts w:ascii="Times New Roman" w:hAnsi="Times New Roman" w:cs="Times New Roman"/>
                <w:i/>
                <w:sz w:val="20"/>
                <w:szCs w:val="20"/>
              </w:rPr>
              <w:t>ifjúsági</w:t>
            </w:r>
            <w:proofErr w:type="spellEnd"/>
            <w:r w:rsidRPr="002774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746E">
              <w:rPr>
                <w:rFonts w:ascii="Times New Roman" w:hAnsi="Times New Roman" w:cs="Times New Roman"/>
                <w:i/>
                <w:sz w:val="20"/>
                <w:szCs w:val="20"/>
              </w:rPr>
              <w:t>előadások</w:t>
            </w:r>
            <w:proofErr w:type="spellEnd"/>
            <w:r w:rsidRPr="002774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746E">
              <w:rPr>
                <w:rFonts w:ascii="Times New Roman" w:hAnsi="Times New Roman" w:cs="Times New Roman"/>
                <w:i/>
                <w:sz w:val="20"/>
                <w:szCs w:val="20"/>
              </w:rPr>
              <w:t>nézőszáma</w:t>
            </w:r>
            <w:proofErr w:type="spellEnd"/>
          </w:p>
        </w:tc>
        <w:tc>
          <w:tcPr>
            <w:tcW w:w="1841" w:type="dxa"/>
          </w:tcPr>
          <w:p w14:paraId="636A819A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5383B">
              <w:rPr>
                <w:rFonts w:ascii="Times New Roman" w:hAnsi="Times New Roman" w:cs="Times New Roman"/>
                <w:i/>
              </w:rPr>
              <w:t>17318</w:t>
            </w:r>
          </w:p>
        </w:tc>
        <w:tc>
          <w:tcPr>
            <w:tcW w:w="1559" w:type="dxa"/>
          </w:tcPr>
          <w:p w14:paraId="07FAE397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5383B">
              <w:rPr>
                <w:rFonts w:ascii="Times New Roman" w:hAnsi="Times New Roman" w:cs="Times New Roman"/>
                <w:i/>
              </w:rPr>
              <w:t>5027</w:t>
            </w:r>
          </w:p>
        </w:tc>
        <w:tc>
          <w:tcPr>
            <w:tcW w:w="3397" w:type="dxa"/>
          </w:tcPr>
          <w:p w14:paraId="3EF9C7E3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5383B">
              <w:rPr>
                <w:rFonts w:ascii="Times New Roman" w:hAnsi="Times New Roman" w:cs="Times New Roman"/>
                <w:i/>
                <w:iCs/>
              </w:rPr>
              <w:t>október</w:t>
            </w:r>
            <w:proofErr w:type="spellEnd"/>
            <w:r w:rsidRPr="00F5383B">
              <w:rPr>
                <w:rFonts w:ascii="Times New Roman" w:hAnsi="Times New Roman" w:cs="Times New Roman"/>
                <w:i/>
                <w:iCs/>
              </w:rPr>
              <w:t xml:space="preserve"> 15-i </w:t>
            </w:r>
            <w:proofErr w:type="spellStart"/>
            <w:r w:rsidRPr="00F5383B">
              <w:rPr>
                <w:rFonts w:ascii="Times New Roman" w:hAnsi="Times New Roman" w:cs="Times New Roman"/>
                <w:i/>
                <w:iCs/>
              </w:rPr>
              <w:t>állapot</w:t>
            </w:r>
            <w:proofErr w:type="spellEnd"/>
            <w:r w:rsidRPr="00F5383B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F5383B">
              <w:rPr>
                <w:rFonts w:ascii="Times New Roman" w:hAnsi="Times New Roman" w:cs="Times New Roman"/>
                <w:iCs/>
              </w:rPr>
              <w:t>901</w:t>
            </w:r>
          </w:p>
        </w:tc>
      </w:tr>
      <w:tr w:rsidR="00F5383B" w14:paraId="08DB6C72" w14:textId="77777777" w:rsidTr="00F5383B">
        <w:tc>
          <w:tcPr>
            <w:tcW w:w="2265" w:type="dxa"/>
          </w:tcPr>
          <w:p w14:paraId="3FD6ECA4" w14:textId="77777777" w:rsidR="00F5383B" w:rsidRPr="006D7D58" w:rsidRDefault="00F5383B" w:rsidP="00F538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D58">
              <w:rPr>
                <w:rFonts w:ascii="Times New Roman" w:hAnsi="Times New Roman" w:cs="Times New Roman"/>
                <w:sz w:val="20"/>
                <w:szCs w:val="20"/>
              </w:rPr>
              <w:t>külföld</w:t>
            </w:r>
            <w:proofErr w:type="spellEnd"/>
          </w:p>
        </w:tc>
        <w:tc>
          <w:tcPr>
            <w:tcW w:w="1841" w:type="dxa"/>
          </w:tcPr>
          <w:p w14:paraId="334132EF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83B">
              <w:rPr>
                <w:rFonts w:ascii="Times New Roman" w:hAnsi="Times New Roman" w:cs="Times New Roman"/>
              </w:rPr>
              <w:t>8120</w:t>
            </w:r>
          </w:p>
        </w:tc>
        <w:tc>
          <w:tcPr>
            <w:tcW w:w="1559" w:type="dxa"/>
          </w:tcPr>
          <w:p w14:paraId="674BCF1E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83B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3397" w:type="dxa"/>
          </w:tcPr>
          <w:p w14:paraId="625598FF" w14:textId="77777777" w:rsidR="00F5383B" w:rsidRPr="00F5383B" w:rsidRDefault="00F5383B" w:rsidP="00F53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83B">
              <w:rPr>
                <w:rFonts w:ascii="Times New Roman" w:hAnsi="Times New Roman" w:cs="Times New Roman"/>
                <w:i/>
                <w:iCs/>
              </w:rPr>
              <w:t>október</w:t>
            </w:r>
            <w:proofErr w:type="spellEnd"/>
            <w:r w:rsidRPr="00F5383B">
              <w:rPr>
                <w:rFonts w:ascii="Times New Roman" w:hAnsi="Times New Roman" w:cs="Times New Roman"/>
                <w:i/>
                <w:iCs/>
              </w:rPr>
              <w:t xml:space="preserve"> 15-i </w:t>
            </w:r>
            <w:proofErr w:type="spellStart"/>
            <w:r w:rsidRPr="00F5383B">
              <w:rPr>
                <w:rFonts w:ascii="Times New Roman" w:hAnsi="Times New Roman" w:cs="Times New Roman"/>
                <w:i/>
                <w:iCs/>
              </w:rPr>
              <w:t>állapot</w:t>
            </w:r>
            <w:proofErr w:type="spellEnd"/>
            <w:r w:rsidRPr="00F5383B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F5383B">
              <w:rPr>
                <w:rFonts w:ascii="Times New Roman" w:hAnsi="Times New Roman" w:cs="Times New Roman"/>
              </w:rPr>
              <w:t>640</w:t>
            </w:r>
          </w:p>
        </w:tc>
      </w:tr>
    </w:tbl>
    <w:p w14:paraId="64DC03EA" w14:textId="77777777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8F122E" w14:textId="5D2007F8" w:rsidR="00F5383B" w:rsidRPr="00D11B7C" w:rsidRDefault="00F5383B" w:rsidP="00F5383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1B7C">
        <w:rPr>
          <w:rFonts w:ascii="Times New Roman" w:hAnsi="Times New Roman" w:cs="Times New Roman"/>
          <w:i/>
          <w:iCs/>
          <w:sz w:val="24"/>
          <w:szCs w:val="24"/>
        </w:rPr>
        <w:t xml:space="preserve">*A hangversenyek száma az adott évadban megvalósított összes, a Zenekar szervezésben vagy közreműködésével létrejött programot tükrözi / a közreműködői létszám az átlagos használt zenekari </w:t>
      </w:r>
      <w:proofErr w:type="spellStart"/>
      <w:r w:rsidRPr="00D11B7C">
        <w:rPr>
          <w:rFonts w:ascii="Times New Roman" w:hAnsi="Times New Roman" w:cs="Times New Roman"/>
          <w:i/>
          <w:iCs/>
          <w:sz w:val="24"/>
          <w:szCs w:val="24"/>
        </w:rPr>
        <w:t>besetzunghoz</w:t>
      </w:r>
      <w:proofErr w:type="spellEnd"/>
      <w:r w:rsidRPr="00D11B7C">
        <w:rPr>
          <w:rFonts w:ascii="Times New Roman" w:hAnsi="Times New Roman" w:cs="Times New Roman"/>
          <w:i/>
          <w:iCs/>
          <w:sz w:val="24"/>
          <w:szCs w:val="24"/>
        </w:rPr>
        <w:t xml:space="preserve"> képest </w:t>
      </w:r>
      <w:r w:rsidR="00E14CB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11B7C">
        <w:rPr>
          <w:rFonts w:ascii="Times New Roman" w:hAnsi="Times New Roman" w:cs="Times New Roman"/>
          <w:i/>
          <w:iCs/>
          <w:sz w:val="24"/>
          <w:szCs w:val="24"/>
        </w:rPr>
        <w:t xml:space="preserve">10, 8, 6, 6, 4 – 3, 2, 3, 2 – 4, 2, 3, 1 – </w:t>
      </w:r>
      <w:proofErr w:type="spellStart"/>
      <w:r w:rsidRPr="00D11B7C">
        <w:rPr>
          <w:rFonts w:ascii="Times New Roman" w:hAnsi="Times New Roman" w:cs="Times New Roman"/>
          <w:i/>
          <w:iCs/>
          <w:sz w:val="24"/>
          <w:szCs w:val="24"/>
        </w:rPr>
        <w:t>tp</w:t>
      </w:r>
      <w:proofErr w:type="spellEnd"/>
      <w:r w:rsidRPr="00D11B7C">
        <w:rPr>
          <w:rFonts w:ascii="Times New Roman" w:hAnsi="Times New Roman" w:cs="Times New Roman"/>
          <w:i/>
          <w:iCs/>
          <w:sz w:val="24"/>
          <w:szCs w:val="24"/>
        </w:rPr>
        <w:t xml:space="preserve">, 2 ütő - összesen 56 </w:t>
      </w:r>
      <w:proofErr w:type="gramStart"/>
      <w:r w:rsidRPr="00D11B7C">
        <w:rPr>
          <w:rFonts w:ascii="Times New Roman" w:hAnsi="Times New Roman" w:cs="Times New Roman"/>
          <w:i/>
          <w:iCs/>
          <w:sz w:val="24"/>
          <w:szCs w:val="24"/>
        </w:rPr>
        <w:t xml:space="preserve">fő </w:t>
      </w:r>
      <w:r w:rsidR="00E14CB4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D11B7C">
        <w:rPr>
          <w:rFonts w:ascii="Times New Roman" w:hAnsi="Times New Roman" w:cs="Times New Roman"/>
          <w:i/>
          <w:iCs/>
          <w:sz w:val="24"/>
          <w:szCs w:val="24"/>
        </w:rPr>
        <w:t xml:space="preserve"> 50%-</w:t>
      </w:r>
      <w:proofErr w:type="spellStart"/>
      <w:r w:rsidRPr="00D11B7C">
        <w:rPr>
          <w:rFonts w:ascii="Times New Roman" w:hAnsi="Times New Roman" w:cs="Times New Roman"/>
          <w:i/>
          <w:iCs/>
          <w:sz w:val="24"/>
          <w:szCs w:val="24"/>
        </w:rPr>
        <w:t>nál</w:t>
      </w:r>
      <w:proofErr w:type="spellEnd"/>
      <w:r w:rsidRPr="00D11B7C">
        <w:rPr>
          <w:rFonts w:ascii="Times New Roman" w:hAnsi="Times New Roman" w:cs="Times New Roman"/>
          <w:i/>
          <w:iCs/>
          <w:sz w:val="24"/>
          <w:szCs w:val="24"/>
        </w:rPr>
        <w:t xml:space="preserve"> kevesebb volt</w:t>
      </w:r>
    </w:p>
    <w:p w14:paraId="0F9450F2" w14:textId="09628884" w:rsidR="00F5383B" w:rsidRDefault="00F5383B" w:rsidP="00F5383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1B7C">
        <w:rPr>
          <w:rFonts w:ascii="Times New Roman" w:hAnsi="Times New Roman" w:cs="Times New Roman"/>
          <w:i/>
          <w:iCs/>
          <w:sz w:val="24"/>
          <w:szCs w:val="24"/>
        </w:rPr>
        <w:t>**A nézőszám a saját rendezésű eseményekhez kapcsolódó kimutatásokon, valamint a külső helyszínek esetében becsült adatokon alapu</w:t>
      </w:r>
      <w:r w:rsidR="00A3312F">
        <w:rPr>
          <w:rFonts w:ascii="Times New Roman" w:hAnsi="Times New Roman" w:cs="Times New Roman"/>
          <w:i/>
          <w:iCs/>
          <w:sz w:val="24"/>
          <w:szCs w:val="24"/>
        </w:rPr>
        <w:t>l</w:t>
      </w:r>
    </w:p>
    <w:p w14:paraId="31F56A65" w14:textId="0AB93861" w:rsidR="00F5383B" w:rsidRPr="00F5383B" w:rsidRDefault="00F5383B" w:rsidP="00F5383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EFF7850" w14:textId="55B42E1E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fenti</w:t>
      </w:r>
      <w:r w:rsidRPr="001619A2">
        <w:rPr>
          <w:rFonts w:ascii="Times New Roman" w:hAnsi="Times New Roman" w:cs="Times New Roman"/>
          <w:sz w:val="28"/>
          <w:szCs w:val="28"/>
        </w:rPr>
        <w:t xml:space="preserve"> adatsor számait sajnálatos módon befolyásolta a pandémia. A Covid-19 járvány miatt </w:t>
      </w:r>
      <w:r>
        <w:rPr>
          <w:rFonts w:ascii="Times New Roman" w:hAnsi="Times New Roman" w:cs="Times New Roman"/>
          <w:sz w:val="28"/>
          <w:szCs w:val="28"/>
        </w:rPr>
        <w:t xml:space="preserve">2020-ban és 2021-ben </w:t>
      </w:r>
      <w:r w:rsidRPr="001619A2">
        <w:rPr>
          <w:rFonts w:ascii="Times New Roman" w:hAnsi="Times New Roman" w:cs="Times New Roman"/>
          <w:sz w:val="28"/>
          <w:szCs w:val="28"/>
        </w:rPr>
        <w:t>számos</w:t>
      </w:r>
      <w:r>
        <w:rPr>
          <w:rFonts w:ascii="Times New Roman" w:hAnsi="Times New Roman" w:cs="Times New Roman"/>
          <w:sz w:val="28"/>
          <w:szCs w:val="28"/>
        </w:rPr>
        <w:t xml:space="preserve">, a szimfonikus zenekar alaptevékenységét meghatározó </w:t>
      </w:r>
      <w:r w:rsidRPr="001619A2">
        <w:rPr>
          <w:rFonts w:ascii="Times New Roman" w:hAnsi="Times New Roman" w:cs="Times New Roman"/>
          <w:sz w:val="28"/>
          <w:szCs w:val="28"/>
        </w:rPr>
        <w:t>eseményt le kellett mondanunk.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1619A2">
        <w:rPr>
          <w:rFonts w:ascii="Times New Roman" w:hAnsi="Times New Roman" w:cs="Times New Roman"/>
          <w:sz w:val="28"/>
          <w:szCs w:val="28"/>
        </w:rPr>
        <w:t xml:space="preserve">aját </w:t>
      </w:r>
      <w:proofErr w:type="gramStart"/>
      <w:r w:rsidRPr="001619A2">
        <w:rPr>
          <w:rFonts w:ascii="Times New Roman" w:hAnsi="Times New Roman" w:cs="Times New Roman"/>
          <w:sz w:val="28"/>
          <w:szCs w:val="28"/>
        </w:rPr>
        <w:t>rendezésű</w:t>
      </w:r>
      <w:proofErr w:type="gramEnd"/>
      <w:r w:rsidRPr="001619A2">
        <w:rPr>
          <w:rFonts w:ascii="Times New Roman" w:hAnsi="Times New Roman" w:cs="Times New Roman"/>
          <w:sz w:val="28"/>
          <w:szCs w:val="28"/>
        </w:rPr>
        <w:t xml:space="preserve"> illetve belföldi szervezők által tervezett hangversenyeink</w:t>
      </w:r>
      <w:r>
        <w:rPr>
          <w:rFonts w:ascii="Times New Roman" w:hAnsi="Times New Roman" w:cs="Times New Roman"/>
          <w:sz w:val="28"/>
          <w:szCs w:val="28"/>
        </w:rPr>
        <w:t xml:space="preserve"> maradtak el</w:t>
      </w:r>
      <w:r w:rsidRPr="001619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az európai járványhelyzet miatt </w:t>
      </w:r>
      <w:r w:rsidRPr="001619A2">
        <w:rPr>
          <w:rFonts w:ascii="Times New Roman" w:hAnsi="Times New Roman" w:cs="Times New Roman"/>
          <w:sz w:val="28"/>
          <w:szCs w:val="28"/>
        </w:rPr>
        <w:t>nem valósul</w:t>
      </w:r>
      <w:r>
        <w:rPr>
          <w:rFonts w:ascii="Times New Roman" w:hAnsi="Times New Roman" w:cs="Times New Roman"/>
          <w:sz w:val="28"/>
          <w:szCs w:val="28"/>
        </w:rPr>
        <w:t>hat</w:t>
      </w:r>
      <w:r w:rsidRPr="001619A2">
        <w:rPr>
          <w:rFonts w:ascii="Times New Roman" w:hAnsi="Times New Roman" w:cs="Times New Roman"/>
          <w:sz w:val="28"/>
          <w:szCs w:val="28"/>
        </w:rPr>
        <w:t xml:space="preserve">tak meg </w:t>
      </w:r>
      <w:r>
        <w:rPr>
          <w:rFonts w:ascii="Times New Roman" w:hAnsi="Times New Roman" w:cs="Times New Roman"/>
          <w:sz w:val="28"/>
          <w:szCs w:val="28"/>
        </w:rPr>
        <w:t xml:space="preserve">az erre az időszakra már korábban lekötött </w:t>
      </w:r>
      <w:r w:rsidRPr="001619A2">
        <w:rPr>
          <w:rFonts w:ascii="Times New Roman" w:hAnsi="Times New Roman" w:cs="Times New Roman"/>
          <w:sz w:val="28"/>
          <w:szCs w:val="28"/>
        </w:rPr>
        <w:t>külföldi fellépéseink sem</w:t>
      </w:r>
      <w:r>
        <w:rPr>
          <w:rFonts w:ascii="Times New Roman" w:hAnsi="Times New Roman" w:cs="Times New Roman"/>
          <w:sz w:val="28"/>
          <w:szCs w:val="28"/>
        </w:rPr>
        <w:t xml:space="preserve"> a tervezett számban</w:t>
      </w:r>
      <w:r w:rsidRPr="001619A2">
        <w:rPr>
          <w:rFonts w:ascii="Times New Roman" w:hAnsi="Times New Roman" w:cs="Times New Roman"/>
          <w:sz w:val="28"/>
          <w:szCs w:val="28"/>
        </w:rPr>
        <w:t>. Ifjúsági hangversenyeink száma szintén jóval alacsonyabb</w:t>
      </w:r>
      <w:r>
        <w:rPr>
          <w:rFonts w:ascii="Times New Roman" w:hAnsi="Times New Roman" w:cs="Times New Roman"/>
          <w:sz w:val="28"/>
          <w:szCs w:val="28"/>
        </w:rPr>
        <w:t>an alakult</w:t>
      </w:r>
      <w:r w:rsidRPr="001619A2">
        <w:rPr>
          <w:rFonts w:ascii="Times New Roman" w:hAnsi="Times New Roman" w:cs="Times New Roman"/>
          <w:sz w:val="28"/>
          <w:szCs w:val="28"/>
        </w:rPr>
        <w:t xml:space="preserve"> a tervezettnél, </w:t>
      </w:r>
      <w:r>
        <w:rPr>
          <w:rFonts w:ascii="Times New Roman" w:hAnsi="Times New Roman" w:cs="Times New Roman"/>
          <w:sz w:val="28"/>
          <w:szCs w:val="28"/>
        </w:rPr>
        <w:t>hiszen</w:t>
      </w:r>
      <w:r w:rsidRPr="001619A2">
        <w:rPr>
          <w:rFonts w:ascii="Times New Roman" w:hAnsi="Times New Roman" w:cs="Times New Roman"/>
          <w:sz w:val="28"/>
          <w:szCs w:val="28"/>
        </w:rPr>
        <w:t xml:space="preserve"> 2020 márciusától egészen a 2020-2021-es tanév teljes lezárásáig nem volt lehetőségünk a hagyományos ifjúsági hangversenyek teljesítésére. </w:t>
      </w:r>
    </w:p>
    <w:p w14:paraId="19B763D1" w14:textId="77777777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7CF8BB" w14:textId="77777777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tevékenység szükségszerű átszervezése miatt a 2020-as és 2021-es évben nagyszámú, a korábbi időszakokhoz képest jelentősen több, főként szabadtéri kamarahangversenyt valósítottunk meg: együtteseink felléptek a kormányzat által meghirdetett „Térzene” programban, saját „Hangszirmok” </w:t>
      </w:r>
      <w:proofErr w:type="gramStart"/>
      <w:r>
        <w:rPr>
          <w:rFonts w:ascii="Times New Roman" w:hAnsi="Times New Roman" w:cs="Times New Roman"/>
          <w:sz w:val="28"/>
          <w:szCs w:val="28"/>
        </w:rPr>
        <w:t>sorozatunkban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valamint a fenntartó által szervezett „Érezd Szombathely” fesztiválok keretében. Ezek az események főként a 2020-as év mutatószámait emelték meg. </w:t>
      </w:r>
    </w:p>
    <w:p w14:paraId="745EF36D" w14:textId="77777777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AD8019" w14:textId="77777777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2021-es év viszonylagosan alacsony rendezvényszámának elsődleges oka az ifjúsági hangversenyek első félévben történt elmaradása. Saját szervezésben 12, míg a Filharmónia szervezésében 30-35 ifjúsági hangverseny nem kerülhetett megrendezésre a pandémiából származó korlátozások miatt. Az elmaradt 40-45 esemény megvalósulása esetén a mutatószámok elérték volna a korábbi évek átlagait. </w:t>
      </w:r>
    </w:p>
    <w:p w14:paraId="101847AE" w14:textId="77777777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8296C9" w14:textId="597839A1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számsorok közönség adatai 2020 és 2021 kapcsán szintén nem tükrözhetik a pontos képet. Egyfelől nem mutatják a 2020 tavaszán a teljes körű lezáráskor a közönség számára elérhetővé tett korábbi felvételeinkhez kapcsolódó megtekintéseket, másrészről szintén csak viszonyszámok szerepelhetnek a 2020 novemberétől 2021 májusig tartó időszakban élőben közvetített online hangversenyeink megtekintései esetében is. A 2020-2021-es szezon bérletes értékesítései már eredendően alacsonyabbak voltak, sajnálatos módon közönségünk kezdeti aggodalma, miszerint nem tudják a Bartók Teremben meghallgatni a hangversenyeket, valóra vált. Csak a Hollywood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filmzenei estek és a Szilveszteri Gálaestek elmaradása közel 2000 fizető nézőt érintett. </w:t>
      </w:r>
      <w:r w:rsidR="00E14CB4">
        <w:rPr>
          <w:rFonts w:ascii="Times New Roman" w:hAnsi="Times New Roman" w:cs="Times New Roman"/>
          <w:sz w:val="28"/>
          <w:szCs w:val="28"/>
        </w:rPr>
        <w:t xml:space="preserve">Az </w:t>
      </w:r>
      <w:proofErr w:type="gramStart"/>
      <w:r w:rsidR="00E14CB4">
        <w:rPr>
          <w:rFonts w:ascii="Times New Roman" w:hAnsi="Times New Roman" w:cs="Times New Roman"/>
          <w:sz w:val="28"/>
          <w:szCs w:val="28"/>
        </w:rPr>
        <w:t>on-line</w:t>
      </w:r>
      <w:proofErr w:type="gramEnd"/>
      <w:r w:rsidR="00E14CB4">
        <w:rPr>
          <w:rFonts w:ascii="Times New Roman" w:hAnsi="Times New Roman" w:cs="Times New Roman"/>
          <w:sz w:val="28"/>
          <w:szCs w:val="28"/>
        </w:rPr>
        <w:t xml:space="preserve"> megjelenésekhez kapcsolódó visszajelzések viszont mutatják, hogy a</w:t>
      </w:r>
      <w:r w:rsidR="00FA29C6">
        <w:rPr>
          <w:rFonts w:ascii="Times New Roman" w:hAnsi="Times New Roman" w:cs="Times New Roman"/>
          <w:sz w:val="28"/>
          <w:szCs w:val="28"/>
        </w:rPr>
        <w:t xml:space="preserve"> virtuális</w:t>
      </w:r>
      <w:r w:rsidR="00E14CB4">
        <w:rPr>
          <w:rFonts w:ascii="Times New Roman" w:hAnsi="Times New Roman" w:cs="Times New Roman"/>
          <w:sz w:val="28"/>
          <w:szCs w:val="28"/>
        </w:rPr>
        <w:t xml:space="preserve"> tér segítségével sikerült elérni olyan új érdeklődőket, akik a jövőben szeretnének az élő hangversenyeken is hallani minket. </w:t>
      </w:r>
    </w:p>
    <w:p w14:paraId="42DF55D1" w14:textId="77777777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C00A1" w14:textId="6F1C14C6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55DB74" w14:textId="0E7B6E32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3F26E4" w14:textId="77777777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C55F9D" w14:textId="2C669596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80E">
        <w:rPr>
          <w:rFonts w:ascii="Times New Roman" w:hAnsi="Times New Roman" w:cs="Times New Roman"/>
          <w:sz w:val="28"/>
          <w:szCs w:val="28"/>
        </w:rPr>
        <w:t xml:space="preserve">A Savaria Szimfonikus Zenekar </w:t>
      </w:r>
      <w:r>
        <w:rPr>
          <w:rFonts w:ascii="Times New Roman" w:hAnsi="Times New Roman" w:cs="Times New Roman"/>
          <w:sz w:val="28"/>
          <w:szCs w:val="28"/>
        </w:rPr>
        <w:t xml:space="preserve">a jelenleg hatályos fenntartói megállapodásban vállalta, hogy műsorpolitikájában kiemelt szerepet szán a műfaji sokszínűség megőrzésének, a különböző zenei korszakok megjelenítésének. Ennek jegyében a közönség az évad bérletes és bérleten kívüli előadásai során a barokktól egészen napjainkig tartó időintervallumból meríti a programban szereplő alkotásokat, teret adva a könnyedebb műfajoknak is / pl. filmzenei hangversenyek, szimfonikus rockkoncertek, musical- és operettelőadások/.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2019- 2021-es évek zenei eseményein a pandémia okozta nehézségek ellenére is </w:t>
      </w:r>
      <w:r>
        <w:rPr>
          <w:rFonts w:ascii="Times New Roman" w:hAnsi="Times New Roman" w:cs="Times New Roman"/>
          <w:sz w:val="28"/>
          <w:szCs w:val="28"/>
        </w:rPr>
        <w:t xml:space="preserve">szépszámú </w:t>
      </w:r>
      <w:r>
        <w:rPr>
          <w:rFonts w:ascii="Times New Roman" w:hAnsi="Times New Roman" w:cs="Times New Roman"/>
          <w:sz w:val="28"/>
          <w:szCs w:val="28"/>
        </w:rPr>
        <w:t xml:space="preserve">meghívott művésszel és együttessel dolgoztunk együtt, a magyar és a nemzetközi kapcsolataink segítségével az áttekintett 3 év során csaknem 130 vendégművészt - karmestert és szólistát -, valamint közel 20 vendégegyüttest köszönthetett a publikum. </w:t>
      </w:r>
    </w:p>
    <w:p w14:paraId="27F1EE5E" w14:textId="77777777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5247F2" w14:textId="70A76AE6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magyar zenekultúra ápolása és gazdagítása érdekében a jelenleg hatályos fenntartói szerződés 3 éves időtartama alatt - </w:t>
      </w:r>
      <w:r w:rsidRPr="00AF6B54">
        <w:rPr>
          <w:rFonts w:ascii="Times New Roman" w:hAnsi="Times New Roman" w:cs="Times New Roman"/>
          <w:i/>
          <w:sz w:val="28"/>
          <w:szCs w:val="28"/>
        </w:rPr>
        <w:t xml:space="preserve">melynek </w:t>
      </w:r>
      <w:r>
        <w:rPr>
          <w:rFonts w:ascii="Times New Roman" w:hAnsi="Times New Roman" w:cs="Times New Roman"/>
          <w:i/>
          <w:sz w:val="28"/>
          <w:szCs w:val="28"/>
        </w:rPr>
        <w:t xml:space="preserve">a területre vonatkozó </w:t>
      </w:r>
      <w:r w:rsidRPr="00AF6B54">
        <w:rPr>
          <w:rFonts w:ascii="Times New Roman" w:hAnsi="Times New Roman" w:cs="Times New Roman"/>
          <w:i/>
          <w:sz w:val="28"/>
          <w:szCs w:val="28"/>
        </w:rPr>
        <w:t>mutatószámaiban minimálisan évi 2 klasszikus magyar mű és 1 ősbemutató szerepel</w:t>
      </w:r>
      <w:r>
        <w:rPr>
          <w:rFonts w:ascii="Times New Roman" w:hAnsi="Times New Roman" w:cs="Times New Roman"/>
          <w:sz w:val="28"/>
          <w:szCs w:val="28"/>
        </w:rPr>
        <w:t xml:space="preserve">, - 25 klasszikus magyar alkotás hangzott el a hangversenyeinken, valamint 4 ősbemutató tanúja lehetett a közönség. </w:t>
      </w:r>
    </w:p>
    <w:p w14:paraId="7A9EC070" w14:textId="77777777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498B5D" w14:textId="77777777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Savaria Szimfonikus Zenekar együttműködése a városban található oktatási intézményekkel, ezek közül is kiemelve Bartók Béla Zeneiskolát,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Paragvári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utcai Általános Iskola Zenei Tagozatát és a Művészeti Gimnázium Zenei Tagozatát -, a korábbi évek gyakorlatának megfelelően a pandémiás időszakot kivéve továbbra is zavartalan és folyamatos.</w:t>
      </w:r>
    </w:p>
    <w:p w14:paraId="1B74403C" w14:textId="77777777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D10248" w14:textId="61BCFA81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zenekar az EMMI-vel fennálló Közszolgálati Szerződés keretében nemcsak Szombathelyen, hanem régiós és országos szintéren is komoly szerepet vállal hangversenyeivel a magyarországi komolyzenei hagyományok ápolásában. A fenntartói megállapodásban érintett költségvetési </w:t>
      </w:r>
      <w:proofErr w:type="gramStart"/>
      <w:r>
        <w:rPr>
          <w:rFonts w:ascii="Times New Roman" w:hAnsi="Times New Roman" w:cs="Times New Roman"/>
          <w:sz w:val="28"/>
          <w:szCs w:val="28"/>
        </w:rPr>
        <w:t>évekről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illetve a költségvetési éveken átnyúló évadokról a szabályzókban rögzített módon benyújtotta szakmai beszámolóját, melyet a fenntartó juttat el az EMMI illetékes osztályához. Ezek a beszámolók részletesebb képet mutatnak együttesünk tevékenységéről.</w:t>
      </w:r>
    </w:p>
    <w:p w14:paraId="22AC9004" w14:textId="494B9C82" w:rsidR="00F5383B" w:rsidRPr="00FA29C6" w:rsidRDefault="00F5383B" w:rsidP="00F538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DBFFF" w14:textId="77777777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Szombathely, 2021. október 20.</w:t>
      </w:r>
    </w:p>
    <w:p w14:paraId="1607DB39" w14:textId="77777777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71C790" w14:textId="77777777" w:rsid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Kiss Barna, igazgató</w:t>
      </w:r>
    </w:p>
    <w:p w14:paraId="2CF908B8" w14:textId="510E54E7" w:rsidR="00517EA4" w:rsidRPr="00F5383B" w:rsidRDefault="00F5383B" w:rsidP="00F5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Savaria Szimfonikus Zenekar</w:t>
      </w:r>
    </w:p>
    <w:sectPr w:rsidR="00517EA4" w:rsidRPr="00F5383B" w:rsidSect="003A5AA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D34D" w14:textId="77777777" w:rsidR="009B38DF" w:rsidRDefault="009B38DF" w:rsidP="00F5383B">
      <w:pPr>
        <w:spacing w:after="0" w:line="240" w:lineRule="auto"/>
      </w:pPr>
      <w:r>
        <w:separator/>
      </w:r>
    </w:p>
  </w:endnote>
  <w:endnote w:type="continuationSeparator" w:id="0">
    <w:p w14:paraId="3243683B" w14:textId="77777777" w:rsidR="009B38DF" w:rsidRDefault="009B38DF" w:rsidP="00F5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FEC6" w14:textId="77777777" w:rsidR="009B38DF" w:rsidRDefault="009B38DF" w:rsidP="00F5383B">
      <w:pPr>
        <w:spacing w:after="0" w:line="240" w:lineRule="auto"/>
      </w:pPr>
      <w:r>
        <w:separator/>
      </w:r>
    </w:p>
  </w:footnote>
  <w:footnote w:type="continuationSeparator" w:id="0">
    <w:p w14:paraId="73845ED4" w14:textId="77777777" w:rsidR="009B38DF" w:rsidRDefault="009B38DF" w:rsidP="00F5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ED62" w14:textId="0E84C091" w:rsidR="00F5383B" w:rsidRDefault="00F5383B">
    <w:pPr>
      <w:pStyle w:val="lfej"/>
    </w:pPr>
    <w:r w:rsidRPr="001725DE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61CCE0D" wp14:editId="03B9EB4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5230" cy="1524000"/>
          <wp:effectExtent l="0" t="0" r="7620" b="0"/>
          <wp:wrapTight wrapText="bothSides">
            <wp:wrapPolygon edited="0">
              <wp:start x="0" y="0"/>
              <wp:lineTo x="0" y="21330"/>
              <wp:lineTo x="21567" y="21330"/>
              <wp:lineTo x="21567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j_level_min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325"/>
                  <a:stretch/>
                </pic:blipFill>
                <pic:spPr bwMode="auto">
                  <a:xfrm>
                    <a:off x="0" y="0"/>
                    <a:ext cx="7555230" cy="15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C3EC0"/>
    <w:multiLevelType w:val="hybridMultilevel"/>
    <w:tmpl w:val="6BA4D8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4B"/>
    <w:rsid w:val="00063C08"/>
    <w:rsid w:val="00102755"/>
    <w:rsid w:val="002520F0"/>
    <w:rsid w:val="00264C05"/>
    <w:rsid w:val="002966ED"/>
    <w:rsid w:val="002C49AA"/>
    <w:rsid w:val="003A5AAB"/>
    <w:rsid w:val="00517EA4"/>
    <w:rsid w:val="00541589"/>
    <w:rsid w:val="00574D2B"/>
    <w:rsid w:val="00646BE7"/>
    <w:rsid w:val="00683014"/>
    <w:rsid w:val="00697C9D"/>
    <w:rsid w:val="006C472A"/>
    <w:rsid w:val="006D689F"/>
    <w:rsid w:val="007808FB"/>
    <w:rsid w:val="007A17F0"/>
    <w:rsid w:val="0082381C"/>
    <w:rsid w:val="008B40E8"/>
    <w:rsid w:val="008D1190"/>
    <w:rsid w:val="009170E9"/>
    <w:rsid w:val="009B38DF"/>
    <w:rsid w:val="00A3312F"/>
    <w:rsid w:val="00B6534B"/>
    <w:rsid w:val="00BF2516"/>
    <w:rsid w:val="00C71F30"/>
    <w:rsid w:val="00E02E0D"/>
    <w:rsid w:val="00E13A2A"/>
    <w:rsid w:val="00E14CB4"/>
    <w:rsid w:val="00F51754"/>
    <w:rsid w:val="00F5383B"/>
    <w:rsid w:val="00F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54D7"/>
  <w15:chartTrackingRefBased/>
  <w15:docId w15:val="{DE34AF41-8AD5-4216-94A3-4879A5DB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4D2B"/>
    <w:pPr>
      <w:spacing w:after="200" w:line="276" w:lineRule="auto"/>
    </w:pPr>
    <w:rPr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7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paragraph" w:styleId="Listaszerbekezds">
    <w:name w:val="List Paragraph"/>
    <w:basedOn w:val="Norml"/>
    <w:uiPriority w:val="34"/>
    <w:qFormat/>
    <w:rsid w:val="00574D2B"/>
    <w:pPr>
      <w:ind w:left="720"/>
      <w:contextualSpacing/>
    </w:pPr>
  </w:style>
  <w:style w:type="table" w:styleId="Rcsostblzat">
    <w:name w:val="Table Grid"/>
    <w:basedOn w:val="Normltblzat"/>
    <w:uiPriority w:val="39"/>
    <w:rsid w:val="00574D2B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516"/>
    <w:rPr>
      <w:rFonts w:ascii="Segoe UI" w:hAnsi="Segoe UI" w:cs="Segoe UI"/>
      <w:sz w:val="18"/>
      <w:szCs w:val="18"/>
      <w:lang w:bidi="en-US"/>
    </w:rPr>
  </w:style>
  <w:style w:type="character" w:styleId="Hiperhivatkozs">
    <w:name w:val="Hyperlink"/>
    <w:basedOn w:val="Bekezdsalapbettpusa"/>
    <w:uiPriority w:val="99"/>
    <w:unhideWhenUsed/>
    <w:rsid w:val="00517EA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17EA4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F5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383B"/>
    <w:rPr>
      <w:lang w:bidi="en-US"/>
    </w:rPr>
  </w:style>
  <w:style w:type="paragraph" w:styleId="llb">
    <w:name w:val="footer"/>
    <w:basedOn w:val="Norml"/>
    <w:link w:val="llbChar"/>
    <w:uiPriority w:val="99"/>
    <w:unhideWhenUsed/>
    <w:rsid w:val="00F5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383B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Barna</dc:creator>
  <cp:keywords/>
  <dc:description/>
  <cp:lastModifiedBy>Kiss Barna</cp:lastModifiedBy>
  <cp:revision>3</cp:revision>
  <cp:lastPrinted>2021-06-01T10:20:00Z</cp:lastPrinted>
  <dcterms:created xsi:type="dcterms:W3CDTF">2021-10-20T09:41:00Z</dcterms:created>
  <dcterms:modified xsi:type="dcterms:W3CDTF">2021-10-20T09:42:00Z</dcterms:modified>
</cp:coreProperties>
</file>